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jc w:val="left"/>
      </w:pPr>
      <w:r>
        <w:rPr>
          <w:rFonts w:ascii="Cambria" w:hAnsi="Cambria" w:eastAsia="Cambria" w:cs="Cambria"/>
          <w:b w:val="0"/>
          <w:i w:val="0"/>
          <w:color w:val="526059"/>
          <w:sz w:val="24"/>
        </w:rPr>
        <w:t>MK02 — Kedokteran Klinis Haji: Peran &amp; Tatalaksana Dokter Kloter</w:t>
      </w:r>
    </w:p>
    <w:p>
      <w:pPr>
        <w:spacing w:before="0" w:after="280"/>
        <w:pBdr>
          <w:bottom w:val="single" w:sz="6" w:space="4" w:color="B6862C"/>
        </w:pBdr>
      </w:pPr>
      <w:r>
        <w:rPr>
          <w:rFonts w:ascii="Cambria" w:hAnsi="Cambria" w:eastAsia="Cambria" w:cs="Cambria"/>
          <w:b/>
          <w:i w:val="0"/>
          <w:color w:val="123D33"/>
          <w:sz w:val="40"/>
        </w:rPr>
        <w:t>Modul 1: Peran dan Tanggung Jawab Dokter Kloter (TKHI) dalam Sistem Kesehatan Haji</w:t>
      </w:r>
    </w:p>
    <w:p>
      <w:pPr>
        <w:spacing w:before="320" w:after="120"/>
        <w:pBdr>
          <w:bottom w:val="single" w:sz="4" w:space="4" w:color="1F6F5C"/>
        </w:pBdr>
      </w:pPr>
      <w:r>
        <w:rPr>
          <w:rFonts w:ascii="Cambria" w:hAnsi="Cambria" w:eastAsia="Cambria" w:cs="Cambria"/>
          <w:b/>
          <w:i w:val="0"/>
          <w:color w:val="1F6F5C"/>
          <w:sz w:val="28"/>
        </w:rPr>
        <w:t>A. Tujuan Pembelajaran</w:t>
      </w:r>
    </w:p>
    <w:p>
      <w:pPr>
        <w:spacing w:before="200" w:after="80"/>
      </w:pPr>
      <w:r>
        <w:rPr>
          <w:rFonts w:ascii="Cambria" w:hAnsi="Cambria" w:eastAsia="Cambria" w:cs="Cambria"/>
          <w:b/>
          <w:i w:val="0"/>
          <w:color w:val="123D33"/>
          <w:sz w:val="22"/>
        </w:rPr>
        <w:t>1. Pengetahuan</w:t>
      </w:r>
    </w:p>
    <w:p>
      <w:pPr>
        <w:pStyle w:val="ListBullet"/>
        <w:spacing w:after="80"/>
      </w:pPr>
      <w:r>
        <w:rPr>
          <w:rFonts w:ascii="Calibri" w:hAnsi="Calibri" w:eastAsia="Calibri" w:cs="Calibri"/>
          <w:b w:val="0"/>
          <w:i w:val="0"/>
          <w:color w:val="17251F"/>
          <w:sz w:val="22"/>
        </w:rPr>
        <w:t>Menjelaskan kedudukan dokter kloter (TKHI) dalam struktur sistem kesehatan haji, termasuk jalur pelaporan ke KKHI Sektor dan KKHI Daker.</w:t>
      </w:r>
    </w:p>
    <w:p>
      <w:pPr>
        <w:pStyle w:val="ListBullet"/>
        <w:spacing w:after="80"/>
      </w:pPr>
      <w:r>
        <w:rPr>
          <w:rFonts w:ascii="Calibri" w:hAnsi="Calibri" w:eastAsia="Calibri" w:cs="Calibri"/>
          <w:b w:val="0"/>
          <w:i w:val="0"/>
          <w:color w:val="17251F"/>
          <w:sz w:val="22"/>
        </w:rPr>
        <w:t>Menguraikan tiga pilar tanggung jawab TKHI (preventif, kuratif lapangan, administratif-koordinatif) beserta contoh kegiatan pada masing-masing pilar.</w:t>
      </w:r>
    </w:p>
    <w:p>
      <w:pPr>
        <w:pStyle w:val="ListBullet"/>
        <w:spacing w:after="80"/>
      </w:pPr>
      <w:r>
        <w:rPr>
          <w:rFonts w:ascii="Calibri" w:hAnsi="Calibri" w:eastAsia="Calibri" w:cs="Calibri"/>
          <w:b w:val="0"/>
          <w:i w:val="0"/>
          <w:color w:val="17251F"/>
          <w:sz w:val="22"/>
        </w:rPr>
        <w:t>Mengidentifikasi batas kewenangan klinis dokter kloter dan kriteria kasus yang wajib dirujuk ke jenjang di atasnya.</w:t>
      </w:r>
    </w:p>
    <w:p>
      <w:pPr>
        <w:spacing w:before="200" w:after="80"/>
      </w:pPr>
      <w:r>
        <w:rPr>
          <w:rFonts w:ascii="Cambria" w:hAnsi="Cambria" w:eastAsia="Cambria" w:cs="Cambria"/>
          <w:b/>
          <w:i w:val="0"/>
          <w:color w:val="123D33"/>
          <w:sz w:val="22"/>
        </w:rPr>
        <w:t>2. Sikap</w:t>
      </w:r>
    </w:p>
    <w:p>
      <w:pPr>
        <w:pStyle w:val="ListBullet"/>
        <w:spacing w:after="80"/>
      </w:pPr>
      <w:r>
        <w:rPr>
          <w:rFonts w:ascii="Calibri" w:hAnsi="Calibri" w:eastAsia="Calibri" w:cs="Calibri"/>
          <w:b w:val="0"/>
          <w:i w:val="0"/>
          <w:color w:val="17251F"/>
          <w:sz w:val="22"/>
        </w:rPr>
        <w:t>Menunjukkan kesediaan membangun kepercayaan jemaah sejak kontak pertama melalui konsistensi sikap dan kehadiran yang terlihat.</w:t>
      </w:r>
    </w:p>
    <w:p>
      <w:pPr>
        <w:pStyle w:val="ListBullet"/>
        <w:spacing w:after="80"/>
      </w:pPr>
      <w:r>
        <w:rPr>
          <w:rFonts w:ascii="Calibri" w:hAnsi="Calibri" w:eastAsia="Calibri" w:cs="Calibri"/>
          <w:b w:val="0"/>
          <w:i w:val="0"/>
          <w:color w:val="17251F"/>
          <w:sz w:val="22"/>
        </w:rPr>
        <w:t>Menghayati peran ganda sebagai klinisi sekaligus koordinator tim kesehatan kloter secara proporsional.</w:t>
      </w:r>
    </w:p>
    <w:p>
      <w:pPr>
        <w:spacing w:before="200" w:after="80"/>
      </w:pPr>
      <w:r>
        <w:rPr>
          <w:rFonts w:ascii="Cambria" w:hAnsi="Cambria" w:eastAsia="Cambria" w:cs="Cambria"/>
          <w:b/>
          <w:i w:val="0"/>
          <w:color w:val="123D33"/>
          <w:sz w:val="22"/>
        </w:rPr>
        <w:t>3. Psikomotor</w:t>
      </w:r>
    </w:p>
    <w:p>
      <w:pPr>
        <w:pStyle w:val="ListBullet"/>
        <w:spacing w:after="80"/>
      </w:pPr>
      <w:r>
        <w:rPr>
          <w:rFonts w:ascii="Calibri" w:hAnsi="Calibri" w:eastAsia="Calibri" w:cs="Calibri"/>
          <w:b w:val="0"/>
          <w:i w:val="0"/>
          <w:color w:val="17251F"/>
          <w:sz w:val="22"/>
        </w:rPr>
        <w:t>Mendemonstrasikan alur pengambilan keputusan dasar saat menghadapi kasus baru di tenda kesehatan kloter (nilai–klasifikasi–tindak lanjut).</w:t>
      </w:r>
    </w:p>
    <w:p>
      <w:pPr>
        <w:pStyle w:val="ListBullet"/>
        <w:spacing w:after="80"/>
      </w:pPr>
      <w:r>
        <w:rPr>
          <w:rFonts w:ascii="Calibri" w:hAnsi="Calibri" w:eastAsia="Calibri" w:cs="Calibri"/>
          <w:b w:val="0"/>
          <w:i w:val="0"/>
          <w:color w:val="17251F"/>
          <w:sz w:val="22"/>
        </w:rPr>
        <w:t>Mempraktikkan pembagian peran dan komunikasi terarah dengan perawat kloter dan ketua kloter dalam simulasi kasus.</w:t>
      </w:r>
    </w:p>
    <w:p>
      <w:pPr>
        <w:spacing w:before="320" w:after="120"/>
        <w:pBdr>
          <w:bottom w:val="single" w:sz="4" w:space="4" w:color="1F6F5C"/>
        </w:pBdr>
      </w:pPr>
      <w:r>
        <w:rPr>
          <w:rFonts w:ascii="Cambria" w:hAnsi="Cambria" w:eastAsia="Cambria" w:cs="Cambria"/>
          <w:b/>
          <w:i w:val="0"/>
          <w:color w:val="1F6F5C"/>
          <w:sz w:val="28"/>
        </w:rPr>
        <w:t>B. Deskripsi</w:t>
      </w:r>
    </w:p>
    <w:p>
      <w:pPr>
        <w:spacing w:after="160" w:line="276" w:lineRule="auto"/>
      </w:pPr>
      <w:r>
        <w:rPr>
          <w:rFonts w:ascii="Calibri" w:hAnsi="Calibri" w:eastAsia="Calibri" w:cs="Calibri"/>
          <w:b w:val="0"/>
          <w:i w:val="0"/>
          <w:color w:val="17251F"/>
          <w:sz w:val="22"/>
        </w:rPr>
        <w:t>Gelar dokter dan pengalaman klinis di fasilitas kesehatan dalam negeri tidak secara otomatis menyiapkan seseorang untuk bekerja tanpa laboratorium penuh, tanpa pencitraan rutin, dan dengan waktu respons yang serba terbatas di tengah kepadatan massa jemaah. Modul ini penting dipelajari lebih dahulu dari seluruh modul lain karena kekeliruan paling mendasar yang dilaporkan TKHI purna-tugas bukan pada penguasaan ilmu klinis, melainkan pada ketidaktahuan memosisikan diri dalam sistem: kapan cukup menangani sendiri, kapan harus melibatkan perawat kloter, dan kapan wajib eskalasi ke KKHI Sektor. Dokter yang menguasai keterampilan klinis tercanggih sekalipun dapat kehilangan arah dan menunda rujukan yang seharusnya segera dilakukan, semata karena tidak memahami peta perannya sejak awal. Modul ini juga meletakkan fondasi sikap — membangun kepercayaan jemaah sejak kontak pertama — yang akan menentukan seberapa jujur dan terbuka jemaah melaporkan keluhannya sepanjang musim haji, sesuatu yang berdampak langsung pada kecepatan deteksi dini kegawatan pada modul-modul berikutnya.</w:t>
      </w:r>
    </w:p>
    <w:p>
      <w:pPr>
        <w:spacing w:before="320" w:after="120"/>
        <w:pBdr>
          <w:bottom w:val="single" w:sz="4" w:space="4" w:color="1F6F5C"/>
        </w:pBdr>
      </w:pPr>
      <w:r>
        <w:rPr>
          <w:rFonts w:ascii="Cambria" w:hAnsi="Cambria" w:eastAsia="Cambria" w:cs="Cambria"/>
          <w:b/>
          <w:i w:val="0"/>
          <w:color w:val="1F6F5C"/>
          <w:sz w:val="28"/>
        </w:rPr>
        <w:t>C. Materi Inti</w:t>
      </w:r>
    </w:p>
    <w:p>
      <w:pPr>
        <w:spacing w:before="200" w:after="80"/>
      </w:pPr>
      <w:r>
        <w:rPr>
          <w:rFonts w:ascii="Cambria" w:hAnsi="Cambria" w:eastAsia="Cambria" w:cs="Cambria"/>
          <w:b/>
          <w:i w:val="0"/>
          <w:color w:val="123D33"/>
          <w:sz w:val="24"/>
        </w:rPr>
        <w:t>C.1 Kedudukan Dokter Kloter dalam Sistem Kesehatan Haji</w:t>
      </w:r>
    </w:p>
    <w:p>
      <w:pPr>
        <w:spacing w:after="160" w:line="276" w:lineRule="auto"/>
      </w:pPr>
      <w:r>
        <w:rPr>
          <w:rFonts w:ascii="Calibri" w:hAnsi="Calibri" w:eastAsia="Calibri" w:cs="Calibri"/>
          <w:b w:val="0"/>
          <w:i w:val="0"/>
          <w:color w:val="17251F"/>
          <w:sz w:val="22"/>
        </w:rPr>
        <w:t>Dokter kloter adalah anggota Tim Kesehatan Haji Indonesia (TKHI) yang ditempatkan pada satu kelompok terbang (kloter) berisi sekitar 350–450 jemaah. Posisi ini berbeda mendasar dari praktik klinis di fasilitas kesehatan dalam negeri: dokter kloter bekerja tanpa dukungan laboratorium penuh, tanpa akses pencitraan rutin, dengan waktu respons terbatas, dan menghadapi jemaah dengan beban komorbid tinggi di tengah lingkungan panas ekstrem serta kepadatan massa yang besar. TKHI berada di bawah koordinasi Kepala Seksi Kesehatan Kloter, berkoordinasi lintas jenjang dengan Klinik Kesehatan Haji Indonesia (KKHI) di tingkat sektor, dan melapor melalui jalur SISKOHAT untuk pencatatan status kesehatan jemaah secara nasional. Fisiologi lingkungan ekstrem dan epidemiologi dasar haji tidak diulang pada modul ini karena telah dikuasai pada Modul Inti (D1); fokus modul ini adalah pemetaan peran praktis dokter kloter di lapangan.</w:t>
      </w:r>
    </w:p>
    <w:p>
      <w:pPr>
        <w:spacing w:before="200" w:after="80"/>
      </w:pPr>
      <w:r>
        <w:rPr>
          <w:rFonts w:ascii="Cambria" w:hAnsi="Cambria" w:eastAsia="Cambria" w:cs="Cambria"/>
          <w:b/>
          <w:i w:val="0"/>
          <w:color w:val="123D33"/>
          <w:sz w:val="24"/>
        </w:rPr>
        <w:t>C.2 Tiga Pilar Tanggung Jawab TKHI</w:t>
      </w:r>
    </w:p>
    <w:p>
      <w:pPr>
        <w:spacing w:after="160" w:line="276" w:lineRule="auto"/>
      </w:pPr>
      <w:r>
        <w:rPr>
          <w:rFonts w:ascii="Calibri" w:hAnsi="Calibri" w:eastAsia="Calibri" w:cs="Calibri"/>
          <w:b w:val="0"/>
          <w:i w:val="0"/>
          <w:color w:val="17251F"/>
          <w:sz w:val="22"/>
        </w:rPr>
        <w:t>Agar tanggung jawab yang terasa “tidak terbatas” dapat dikelola secara realistis, peran dokter kloter dipilah menjadi tiga pilar berikut.</w:t>
      </w:r>
    </w:p>
    <w:tbl>
      <w:tblPr>
        <w:tblW w:type="auto" w:w="0"/>
        <w:jc w:val="center"/>
        <w:tblLayout w:type="fixed"/>
        <w:tblLook w:firstColumn="1" w:firstRow="1" w:lastColumn="0" w:lastRow="0" w:noHBand="0" w:noVBand="1" w:val="04A0"/>
      </w:tblPr>
      <w:tblGrid>
        <w:gridCol w:w="3024"/>
        <w:gridCol w:w="3024"/>
        <w:gridCol w:w="3024"/>
      </w:tblGrid>
      <w:tr>
        <w:tc>
          <w:tcPr>
            <w:tcW w:type="dxa" w:w="2268"/>
            <w:shd w:val="clear" w:color="auto" w:fill="1F6F5C"/>
            <w:tcBorders>
              <w:top w:val="single" w:sz="4" w:space="0" w:color="E1E9E5"/>
              <w:left w:val="single" w:sz="4" w:space="0" w:color="E1E9E5"/>
              <w:bottom w:val="single" w:sz="4" w:space="0" w:color="E1E9E5"/>
              <w:right w:val="single" w:sz="4" w:space="0" w:color="E1E9E5"/>
            </w:tcBorders>
          </w:tcPr>
          <w:p>
            <w:r/>
            <w:r>
              <w:rPr>
                <w:rFonts w:ascii="Cambria" w:hAnsi="Cambria" w:eastAsia="Cambria" w:cs="Cambria"/>
                <w:b/>
                <w:i w:val="0"/>
                <w:color w:val="FFFFFF"/>
                <w:sz w:val="21"/>
              </w:rPr>
              <w:t>Pilar</w:t>
            </w:r>
          </w:p>
        </w:tc>
        <w:tc>
          <w:tcPr>
            <w:tcW w:type="dxa" w:w="3685"/>
            <w:shd w:val="clear" w:color="auto" w:fill="1F6F5C"/>
            <w:tcBorders>
              <w:top w:val="single" w:sz="4" w:space="0" w:color="E1E9E5"/>
              <w:left w:val="single" w:sz="4" w:space="0" w:color="E1E9E5"/>
              <w:bottom w:val="single" w:sz="4" w:space="0" w:color="E1E9E5"/>
              <w:right w:val="single" w:sz="4" w:space="0" w:color="E1E9E5"/>
            </w:tcBorders>
          </w:tcPr>
          <w:p>
            <w:r/>
            <w:r>
              <w:rPr>
                <w:rFonts w:ascii="Cambria" w:hAnsi="Cambria" w:eastAsia="Cambria" w:cs="Cambria"/>
                <w:b/>
                <w:i w:val="0"/>
                <w:color w:val="FFFFFF"/>
                <w:sz w:val="21"/>
              </w:rPr>
              <w:t>Fokus Tanggung Jawab</w:t>
            </w:r>
          </w:p>
        </w:tc>
        <w:tc>
          <w:tcPr>
            <w:tcW w:type="dxa" w:w="3402"/>
            <w:shd w:val="clear" w:color="auto" w:fill="1F6F5C"/>
            <w:tcBorders>
              <w:top w:val="single" w:sz="4" w:space="0" w:color="E1E9E5"/>
              <w:left w:val="single" w:sz="4" w:space="0" w:color="E1E9E5"/>
              <w:bottom w:val="single" w:sz="4" w:space="0" w:color="E1E9E5"/>
              <w:right w:val="single" w:sz="4" w:space="0" w:color="E1E9E5"/>
            </w:tcBorders>
          </w:tcPr>
          <w:p>
            <w:r/>
            <w:r>
              <w:rPr>
                <w:rFonts w:ascii="Cambria" w:hAnsi="Cambria" w:eastAsia="Cambria" w:cs="Cambria"/>
                <w:b/>
                <w:i w:val="0"/>
                <w:color w:val="FFFFFF"/>
                <w:sz w:val="21"/>
              </w:rPr>
              <w:t>Contoh Kegiatan</w:t>
            </w:r>
          </w:p>
        </w:tc>
      </w:tr>
      <w:tr>
        <w:tc>
          <w:tcPr>
            <w:tcW w:type="dxa" w:w="2268"/>
            <w:shd w:val="clear" w:color="auto" w:fill="FFFFFF"/>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Preventif</w:t>
            </w:r>
          </w:p>
        </w:tc>
        <w:tc>
          <w:tcPr>
            <w:tcW w:type="dxa" w:w="3685"/>
            <w:shd w:val="clear" w:color="auto" w:fill="FFFFFF"/>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Pemantauan status kesehatan harian jemaah berisiko tinggi; edukasi manasik kesehatan lanjutan; pengawasan kepatuhan obat kronik</w:t>
            </w:r>
          </w:p>
        </w:tc>
        <w:tc>
          <w:tcPr>
            <w:tcW w:type="dxa" w:w="3402"/>
            <w:shd w:val="clear" w:color="auto" w:fill="FFFFFF"/>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Ronde harian ke tenda jemaah risiko tinggi; sesi edukasi singkat kelompok</w:t>
            </w:r>
          </w:p>
        </w:tc>
      </w:tr>
      <w:tr>
        <w:tc>
          <w:tcPr>
            <w:tcW w:type="dxa" w:w="2268"/>
            <w:shd w:val="clear" w:color="auto" w:fill="E8F2EE"/>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Kuratif Lapangan</w:t>
            </w:r>
          </w:p>
        </w:tc>
        <w:tc>
          <w:tcPr>
            <w:tcW w:type="dxa" w:w="3685"/>
            <w:shd w:val="clear" w:color="auto" w:fill="E8F2EE"/>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Penanganan kedaruratan panas, kegawatan kardiovaskular akut, dan trauma akibat dinamika kerumunan dengan sumber daya terbatas</w:t>
            </w:r>
          </w:p>
        </w:tc>
        <w:tc>
          <w:tcPr>
            <w:tcW w:type="dxa" w:w="3402"/>
            <w:shd w:val="clear" w:color="auto" w:fill="E8F2EE"/>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Tatalaksana awal heat exhaustion di tenda kesehatan kloter</w:t>
            </w:r>
          </w:p>
        </w:tc>
      </w:tr>
      <w:tr>
        <w:tc>
          <w:tcPr>
            <w:tcW w:type="dxa" w:w="2268"/>
            <w:shd w:val="clear" w:color="auto" w:fill="FFFFFF"/>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Administratif-Koordinatif</w:t>
            </w:r>
          </w:p>
        </w:tc>
        <w:tc>
          <w:tcPr>
            <w:tcW w:type="dxa" w:w="3685"/>
            <w:shd w:val="clear" w:color="auto" w:fill="FFFFFF"/>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Dokumentasi kontak medis, pelaporan kasus rujukan, koordinasi status kesehatan kloter secara berkala</w:t>
            </w:r>
          </w:p>
        </w:tc>
        <w:tc>
          <w:tcPr>
            <w:tcW w:type="dxa" w:w="3402"/>
            <w:shd w:val="clear" w:color="auto" w:fill="FFFFFF"/>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Mengisi rekam kesehatan harian; melaporkan rujukan ke KKHI</w:t>
            </w:r>
          </w:p>
        </w:tc>
      </w:tr>
    </w:tbl>
    <w:p>
      <w:pPr>
        <w:spacing w:after="80"/>
      </w:pPr>
    </w:p>
    <w:p>
      <w:pPr>
        <w:spacing w:after="160" w:line="276" w:lineRule="auto"/>
      </w:pPr>
      <w:r>
        <w:rPr>
          <w:rFonts w:ascii="Calibri" w:hAnsi="Calibri" w:eastAsia="Calibri" w:cs="Calibri"/>
          <w:b w:val="0"/>
          <w:i w:val="0"/>
          <w:color w:val="17251F"/>
          <w:sz w:val="22"/>
        </w:rPr>
        <w:t>Ketiga pilar ini idealnya dijalankan secara seimbang sepanjang hari kerja, bukan hanya saat kegawatan sedang berlangsung — pilar administratif-koordinatif yang tampak “tidak mendesak” justru menjadi dasar keputusan klinis yang cepat pada hari-hari berikutnya.</w:t>
      </w:r>
    </w:p>
    <w:p>
      <w:pPr>
        <w:spacing w:before="200" w:after="80"/>
      </w:pPr>
      <w:r>
        <w:rPr>
          <w:rFonts w:ascii="Cambria" w:hAnsi="Cambria" w:eastAsia="Cambria" w:cs="Cambria"/>
          <w:b/>
          <w:i w:val="0"/>
          <w:color w:val="123D33"/>
          <w:sz w:val="24"/>
        </w:rPr>
        <w:t>C.3 Struktur Tim dan Batas Kewenangan</w:t>
      </w:r>
    </w:p>
    <w:p>
      <w:pPr>
        <w:spacing w:after="160" w:line="276" w:lineRule="auto"/>
      </w:pPr>
      <w:r>
        <w:rPr>
          <w:rFonts w:ascii="Calibri" w:hAnsi="Calibri" w:eastAsia="Calibri" w:cs="Calibri"/>
          <w:b w:val="0"/>
          <w:i w:val="0"/>
          <w:color w:val="17251F"/>
          <w:sz w:val="22"/>
        </w:rPr>
        <w:t>Satu kloter umumnya didampingi satu dokter dan dua perawat/tenaga kesehatan. Dokter kloter memimpin keputusan klinis namun bekerja sebagai tim: triase awal sering dilakukan oleh perawat, sementara keputusan rujukan dan penetapan diagnosis kerja tetap berada di tangan dokter. Memahami batas kewenangan diri sendiri sama pentingnya dengan menguasai keterampilan klinis, karena penundaan rujukan akibat dorongan “harus bisa menangani sendiri” adalah salah satu penyebab perburukan kondisi pasien yang sebenarnya dapat dicegah. Kasus yang melampaui kapasitas kloter — misalnya kecurigaan infark miokard akut, heat stroke berat, atau cedera multipel — harus segera dirujuk ke KKHI Sektor tanpa menunda observasi lapangan yang berisiko memperberat kondisi pasien.</w:t>
      </w:r>
    </w:p>
    <w:tbl>
      <w:tblPr>
        <w:tblW w:type="auto" w:w="0"/>
        <w:jc w:val="center"/>
        <w:tblLayout w:type="autofit"/>
        <w:tblLook w:firstColumn="1" w:firstRow="1" w:lastColumn="0" w:lastRow="0" w:noHBand="0" w:noVBand="1" w:val="04A0"/>
      </w:tblPr>
      <w:tblGrid>
        <w:gridCol w:w="9072"/>
      </w:tblGrid>
      <w:tr>
        <w:tc>
          <w:tcPr>
            <w:tcW w:type="dxa" w:w="9072"/>
            <w:shd w:val="clear" w:color="auto" w:fill="E8F2EE"/>
            <w:tcBorders>
              <w:left w:val="single" w:sz="18" w:color="1F6F5C"/>
              <w:top w:val="nil"/>
              <w:bottom w:val="nil"/>
              <w:right w:val="nil"/>
            </w:tcBorders>
            <w:tcMar>
              <w:top w:w="120" w:type="dxa"/>
              <w:bottom w:w="120" w:type="dxa"/>
              <w:left w:w="200" w:type="dxa"/>
              <w:right w:w="200" w:type="dxa"/>
            </w:tcMar>
          </w:tcPr>
          <w:p>
            <w:r/>
            <w:r>
              <w:rPr>
                <w:rFonts w:ascii="Cambria" w:hAnsi="Cambria" w:eastAsia="Cambria" w:cs="Cambria"/>
                <w:b/>
                <w:i w:val="0"/>
                <w:color w:val="123D33"/>
                <w:sz w:val="22"/>
              </w:rPr>
              <w:t>Algoritma C.3 — Alur Keputusan Dasar Menghadapi Kasus Baru</w:t>
            </w:r>
          </w:p>
          <w:p>
            <w:r>
              <w:rPr>
                <w:rFonts w:ascii="Calibri" w:hAnsi="Calibri" w:eastAsia="Calibri" w:cs="Calibri"/>
                <w:b w:val="0"/>
                <w:i w:val="0"/>
                <w:color w:val="17251F"/>
                <w:sz w:val="21"/>
              </w:rPr>
              <w:t>1) Nilai kondisi umum dan tanda vital (kesadaran, jalan napas, sirkulasi) → 2) Klasifikasikan tingkat kegawatan: stabil / observasi / gawat darurat → 3) Stabil: tangani di tenda kesehatan, dokumentasikan, edukasi → 4) Observasi: pantau berkala, siapkan jalur rujukan bila memburuk → 5) Gawat darurat: stabilisasi awal sesuai protokol resusitasi resmi yang berlaku [PROTOKOL: rujuk pedoman Kemenkes/IDI terkini — wajib ditinjau dokter spesialis sebelum digunakan sebagai acuan klinis final], aktifkan jalur rujukan ke KKHI Sektor, dokumentasikan waktu kejadian dan tindakan.</w:t>
            </w:r>
          </w:p>
        </w:tc>
      </w:tr>
    </w:tbl>
    <w:p>
      <w:pPr>
        <w:spacing w:after="80"/>
      </w:pPr>
    </w:p>
    <w:p>
      <w:pPr>
        <w:spacing w:before="200" w:after="80"/>
      </w:pPr>
      <w:r>
        <w:rPr>
          <w:rFonts w:ascii="Cambria" w:hAnsi="Cambria" w:eastAsia="Cambria" w:cs="Cambria"/>
          <w:b/>
          <w:i w:val="0"/>
          <w:color w:val="123D33"/>
          <w:sz w:val="24"/>
        </w:rPr>
        <w:t>C.4 Pembagian Peran dalam Tim Kesehatan Kloter</w:t>
      </w:r>
    </w:p>
    <w:tbl>
      <w:tblPr>
        <w:tblW w:type="auto" w:w="0"/>
        <w:jc w:val="center"/>
        <w:tblLayout w:type="fixed"/>
        <w:tblLook w:firstColumn="1" w:firstRow="1" w:lastColumn="0" w:lastRow="0" w:noHBand="0" w:noVBand="1" w:val="04A0"/>
      </w:tblPr>
      <w:tblGrid>
        <w:gridCol w:w="3024"/>
        <w:gridCol w:w="3024"/>
        <w:gridCol w:w="3024"/>
      </w:tblGrid>
      <w:tr>
        <w:tc>
          <w:tcPr>
            <w:tcW w:type="dxa" w:w="2381"/>
            <w:shd w:val="clear" w:color="auto" w:fill="1F6F5C"/>
            <w:tcBorders>
              <w:top w:val="single" w:sz="4" w:space="0" w:color="E1E9E5"/>
              <w:left w:val="single" w:sz="4" w:space="0" w:color="E1E9E5"/>
              <w:bottom w:val="single" w:sz="4" w:space="0" w:color="E1E9E5"/>
              <w:right w:val="single" w:sz="4" w:space="0" w:color="E1E9E5"/>
            </w:tcBorders>
          </w:tcPr>
          <w:p>
            <w:r/>
            <w:r>
              <w:rPr>
                <w:rFonts w:ascii="Cambria" w:hAnsi="Cambria" w:eastAsia="Cambria" w:cs="Cambria"/>
                <w:b/>
                <w:i w:val="0"/>
                <w:color w:val="FFFFFF"/>
                <w:sz w:val="21"/>
              </w:rPr>
              <w:t>Peran</w:t>
            </w:r>
          </w:p>
        </w:tc>
        <w:tc>
          <w:tcPr>
            <w:tcW w:type="dxa" w:w="3402"/>
            <w:shd w:val="clear" w:color="auto" w:fill="1F6F5C"/>
            <w:tcBorders>
              <w:top w:val="single" w:sz="4" w:space="0" w:color="E1E9E5"/>
              <w:left w:val="single" w:sz="4" w:space="0" w:color="E1E9E5"/>
              <w:bottom w:val="single" w:sz="4" w:space="0" w:color="E1E9E5"/>
              <w:right w:val="single" w:sz="4" w:space="0" w:color="E1E9E5"/>
            </w:tcBorders>
          </w:tcPr>
          <w:p>
            <w:r/>
            <w:r>
              <w:rPr>
                <w:rFonts w:ascii="Cambria" w:hAnsi="Cambria" w:eastAsia="Cambria" w:cs="Cambria"/>
                <w:b/>
                <w:i w:val="0"/>
                <w:color w:val="FFFFFF"/>
                <w:sz w:val="21"/>
              </w:rPr>
              <w:t>Tanggung Jawab Utama</w:t>
            </w:r>
          </w:p>
        </w:tc>
        <w:tc>
          <w:tcPr>
            <w:tcW w:type="dxa" w:w="3572"/>
            <w:shd w:val="clear" w:color="auto" w:fill="1F6F5C"/>
            <w:tcBorders>
              <w:top w:val="single" w:sz="4" w:space="0" w:color="E1E9E5"/>
              <w:left w:val="single" w:sz="4" w:space="0" w:color="E1E9E5"/>
              <w:bottom w:val="single" w:sz="4" w:space="0" w:color="E1E9E5"/>
              <w:right w:val="single" w:sz="4" w:space="0" w:color="E1E9E5"/>
            </w:tcBorders>
          </w:tcPr>
          <w:p>
            <w:r/>
            <w:r>
              <w:rPr>
                <w:rFonts w:ascii="Cambria" w:hAnsi="Cambria" w:eastAsia="Cambria" w:cs="Cambria"/>
                <w:b/>
                <w:i w:val="0"/>
                <w:color w:val="FFFFFF"/>
                <w:sz w:val="21"/>
              </w:rPr>
              <w:t>Contoh Tugas</w:t>
            </w:r>
          </w:p>
        </w:tc>
      </w:tr>
      <w:tr>
        <w:tc>
          <w:tcPr>
            <w:tcW w:type="dxa" w:w="2381"/>
            <w:shd w:val="clear" w:color="auto" w:fill="FFFFFF"/>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Dokter Kloter (TKHI)</w:t>
            </w:r>
          </w:p>
        </w:tc>
        <w:tc>
          <w:tcPr>
            <w:tcW w:type="dxa" w:w="3402"/>
            <w:shd w:val="clear" w:color="auto" w:fill="FFFFFF"/>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Diagnosis, keputusan klinis, rujukan</w:t>
            </w:r>
          </w:p>
        </w:tc>
        <w:tc>
          <w:tcPr>
            <w:tcW w:type="dxa" w:w="3572"/>
            <w:shd w:val="clear" w:color="auto" w:fill="FFFFFF"/>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Menetapkan diagnosis kerja; memutuskan rujukan ke KKHI</w:t>
            </w:r>
          </w:p>
        </w:tc>
      </w:tr>
      <w:tr>
        <w:tc>
          <w:tcPr>
            <w:tcW w:type="dxa" w:w="2381"/>
            <w:shd w:val="clear" w:color="auto" w:fill="E8F2EE"/>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Perawat Kloter</w:t>
            </w:r>
          </w:p>
        </w:tc>
        <w:tc>
          <w:tcPr>
            <w:tcW w:type="dxa" w:w="3402"/>
            <w:shd w:val="clear" w:color="auto" w:fill="E8F2EE"/>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Triase awal, tindakan keperawatan</w:t>
            </w:r>
          </w:p>
        </w:tc>
        <w:tc>
          <w:tcPr>
            <w:tcW w:type="dxa" w:w="3572"/>
            <w:shd w:val="clear" w:color="auto" w:fill="E8F2EE"/>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Mengukur tanda vital; memberi terapi sesuai instruksi dokter</w:t>
            </w:r>
          </w:p>
        </w:tc>
      </w:tr>
      <w:tr>
        <w:tc>
          <w:tcPr>
            <w:tcW w:type="dxa" w:w="2381"/>
            <w:shd w:val="clear" w:color="auto" w:fill="FFFFFF"/>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Ketua Kloter (non-medis)</w:t>
            </w:r>
          </w:p>
        </w:tc>
        <w:tc>
          <w:tcPr>
            <w:tcW w:type="dxa" w:w="3402"/>
            <w:shd w:val="clear" w:color="auto" w:fill="FFFFFF"/>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Koordinasi logistik dan jemaah</w:t>
            </w:r>
          </w:p>
        </w:tc>
        <w:tc>
          <w:tcPr>
            <w:tcW w:type="dxa" w:w="3572"/>
            <w:shd w:val="clear" w:color="auto" w:fill="FFFFFF"/>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Mengoordinasikan transportasi jemaah sakit</w:t>
            </w:r>
          </w:p>
        </w:tc>
      </w:tr>
      <w:tr>
        <w:tc>
          <w:tcPr>
            <w:tcW w:type="dxa" w:w="2381"/>
            <w:shd w:val="clear" w:color="auto" w:fill="E8F2EE"/>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KKHI Sektor</w:t>
            </w:r>
          </w:p>
        </w:tc>
        <w:tc>
          <w:tcPr>
            <w:tcW w:type="dxa" w:w="3402"/>
            <w:shd w:val="clear" w:color="auto" w:fill="E8F2EE"/>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Rujukan lanjutan, penunjang diagnostik</w:t>
            </w:r>
          </w:p>
        </w:tc>
        <w:tc>
          <w:tcPr>
            <w:tcW w:type="dxa" w:w="3572"/>
            <w:shd w:val="clear" w:color="auto" w:fill="E8F2EE"/>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Menerima rujukan; melakukan pemeriksaan lanjutan</w:t>
            </w:r>
          </w:p>
        </w:tc>
      </w:tr>
    </w:tbl>
    <w:p>
      <w:pPr>
        <w:spacing w:after="80"/>
      </w:pPr>
    </w:p>
    <w:p>
      <w:pPr>
        <w:spacing w:before="200" w:after="80"/>
      </w:pPr>
      <w:r>
        <w:rPr>
          <w:rFonts w:ascii="Cambria" w:hAnsi="Cambria" w:eastAsia="Cambria" w:cs="Cambria"/>
          <w:b/>
          <w:i w:val="0"/>
          <w:color w:val="123D33"/>
          <w:sz w:val="24"/>
        </w:rPr>
        <w:t>C.5 Tantangan Khas Peran Dokter Kloter</w:t>
      </w:r>
    </w:p>
    <w:p>
      <w:pPr>
        <w:spacing w:after="160" w:line="276" w:lineRule="auto"/>
      </w:pPr>
      <w:r>
        <w:rPr>
          <w:rFonts w:ascii="Calibri" w:hAnsi="Calibri" w:eastAsia="Calibri" w:cs="Calibri"/>
          <w:b w:val="0"/>
          <w:i w:val="0"/>
          <w:color w:val="17251F"/>
          <w:sz w:val="22"/>
        </w:rPr>
        <w:t>Tantangan yang paling sering dilaporkan TKHI purna-tugas bukan pada aspek keilmuan klinis semata, melainkan pada pengambilan keputusan di bawah tekanan waktu dan keterbatasan sumber daya, komunikasi lintas budaya dan bahasa dengan petugas Arab Saudi (dibahas lebih lanjut pada Modul 10), serta beban kerja berkepanjangan tanpa jeda istirahat memadai — faktor risiko burnout yang dibahas lebih dalam pada Buku B5. Menyadari tantangan ini sejak dini memberi dokter kloter kesempatan membangun kesiapan mental, bukan sekadar kesiapan klinis.</w:t>
      </w:r>
    </w:p>
    <w:p>
      <w:pPr>
        <w:spacing w:before="200" w:after="80"/>
      </w:pPr>
      <w:r>
        <w:rPr>
          <w:rFonts w:ascii="Cambria" w:hAnsi="Cambria" w:eastAsia="Cambria" w:cs="Cambria"/>
          <w:b/>
          <w:i w:val="0"/>
          <w:color w:val="123D33"/>
          <w:sz w:val="24"/>
        </w:rPr>
        <w:t>C.6 Membangun Kepercayaan Jemaah Sejak Kontak Pertama</w:t>
      </w:r>
    </w:p>
    <w:p>
      <w:pPr>
        <w:spacing w:after="160" w:line="276" w:lineRule="auto"/>
      </w:pPr>
      <w:r>
        <w:rPr>
          <w:rFonts w:ascii="Calibri" w:hAnsi="Calibri" w:eastAsia="Calibri" w:cs="Calibri"/>
          <w:b w:val="0"/>
          <w:i w:val="0"/>
          <w:color w:val="17251F"/>
          <w:sz w:val="22"/>
        </w:rPr>
        <w:t>Berbeda dari hubungan dokter-pasien di layanan primer dalam negeri yang biasanya terjalin jangka panjang, dokter kloter harus membangun kepercayaan jemaah dalam waktu sangat singkat — sering hanya satu-dua kali kontak sebelum jemaah bersedia terbuka mengenai kondisi kesehatannya secara jujur. Kepercayaan ini dibangun melalui konsistensi sikap, kehadiran yang terlihat (berkeliling tenda kesehatan secara rutin, bukan hanya menunggu jemaah datang), dan komunikasi yang menghormati norma budaya. Kepercayaan yang terbangun sejak hari-hari awal secara langsung memengaruhi kepatuhan jemaah terhadap edukasi kesehatan dan kesediaan mereka melaporkan gejala dini pada minggu-minggu berikutnya.</w:t>
      </w:r>
    </w:p>
    <w:p>
      <w:pPr>
        <w:spacing w:before="320" w:after="120"/>
        <w:pBdr>
          <w:bottom w:val="single" w:sz="4" w:space="4" w:color="1F6F5C"/>
        </w:pBdr>
      </w:pPr>
      <w:r>
        <w:rPr>
          <w:rFonts w:ascii="Cambria" w:hAnsi="Cambria" w:eastAsia="Cambria" w:cs="Cambria"/>
          <w:b/>
          <w:i w:val="0"/>
          <w:color w:val="1F6F5C"/>
          <w:sz w:val="28"/>
        </w:rPr>
        <w:t>D. Ilustrasi Kasus (Vignette)</w:t>
      </w:r>
    </w:p>
    <w:p>
      <w:pPr>
        <w:spacing w:after="160" w:line="276" w:lineRule="auto"/>
      </w:pPr>
      <w:r>
        <w:rPr>
          <w:rFonts w:ascii="Calibri" w:hAnsi="Calibri" w:eastAsia="Calibri" w:cs="Calibri"/>
          <w:b w:val="0"/>
          <w:i w:val="0"/>
          <w:color w:val="17251F"/>
          <w:sz w:val="22"/>
        </w:rPr>
        <w:t>Seorang dokter kloter baru saja tiba di Madinah dan sejak jam pertama sudah disibukkan oleh belasan keluhan ringan jemaah — mulai dari pegal kaki hingga sulit tidur karena perbedaan waktu. Di tengah antrean, seorang perawat kloter melaporkan seorang jemaah laki-laki berusia 68 tahun yang tampak lemas dan berkeringat banyak setelah berjalan dari bandara ke bus. Karena sejak sebelum keberangkatan ia telah memahami peta sistem — pilar preventif, kuratif, dan administratif, serta batas kewenangannya sendiri — dokter tersebut segera menilai kondisi umum dan tanda vital jemaah, mengklasifikasikannya sebagai kategori observasi (bukan stabil, karena riwayat jantung koroner tercatat pada manifest), lalu menugaskan perawat kloter memantau tanda vital tiap 30 menit sambil ia sendiri melanjutkan pemeriksaan jemaah lain. Ia juga meluangkan waktu menyapa jemaah tersebut dan keluarganya secara personal, membangun kepercayaan yang kelak membuat jemaah itu lebih terbuka melaporkan keluhan dadanya yang ringan pada hari ke-9 — sebelum berkembang menjadi kegawatan yang terlambat ditangani.</w:t>
      </w:r>
    </w:p>
    <w:p>
      <w:pPr>
        <w:spacing w:before="320" w:after="120"/>
        <w:pBdr>
          <w:bottom w:val="single" w:sz="4" w:space="4" w:color="1F6F5C"/>
        </w:pBdr>
      </w:pPr>
      <w:r>
        <w:rPr>
          <w:rFonts w:ascii="Cambria" w:hAnsi="Cambria" w:eastAsia="Cambria" w:cs="Cambria"/>
          <w:b/>
          <w:i w:val="0"/>
          <w:color w:val="1F6F5C"/>
          <w:sz w:val="28"/>
        </w:rPr>
        <w:t>E. Referensi</w:t>
      </w:r>
    </w:p>
    <w:p>
      <w:pPr>
        <w:spacing w:after="80" w:line="276" w:lineRule="auto"/>
      </w:pPr>
      <w:r>
        <w:rPr>
          <w:rFonts w:ascii="Calibri" w:hAnsi="Calibri" w:eastAsia="Calibri" w:cs="Calibri"/>
          <w:b w:val="0"/>
          <w:i w:val="0"/>
          <w:color w:val="17251F"/>
          <w:sz w:val="22"/>
        </w:rPr>
        <w:t>1. Kementerian Kesehatan Republik Indonesia. Keputusan Menteri Kesehatan RI Nomor 442/MENKES/SK/VI/2009 tentang Pedoman Penyelenggaraan Kesehatan Haji Indonesia. Jakarta: Kemenkes RI; 2009. https://www.persi.or.id/images/regulasi/kepmenkes/kmk4422009.pdf</w:t>
      </w:r>
    </w:p>
    <w:p>
      <w:pPr>
        <w:spacing w:after="80" w:line="276" w:lineRule="auto"/>
      </w:pPr>
      <w:r>
        <w:rPr>
          <w:rFonts w:ascii="Calibri" w:hAnsi="Calibri" w:eastAsia="Calibri" w:cs="Calibri"/>
          <w:b w:val="0"/>
          <w:i w:val="0"/>
          <w:color w:val="17251F"/>
          <w:sz w:val="22"/>
        </w:rPr>
        <w:t>2. Republik Indonesia. Undang-Undang Nomor 8 Tahun 2019 tentang Penyelenggaraan Ibadah Haji dan Umrah. Jakarta; 2019.</w:t>
      </w:r>
    </w:p>
    <w:p>
      <w:pPr>
        <w:spacing w:after="80" w:line="276" w:lineRule="auto"/>
      </w:pPr>
      <w:r>
        <w:rPr>
          <w:rFonts w:ascii="Calibri" w:hAnsi="Calibri" w:eastAsia="Calibri" w:cs="Calibri"/>
          <w:b w:val="0"/>
          <w:i w:val="0"/>
          <w:color w:val="17251F"/>
          <w:sz w:val="22"/>
        </w:rPr>
        <w:t>3. Buku Utama Fellowship Kedokteran Haji (B1) — Bab 1. Perpustakaan Digital ABBA.</w:t>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Calibri" w:hAnsi="Calibri" w:eastAsia="Calibri" w:cs="Calibri"/>
        <w:b w:val="0"/>
        <w:i w:val="0"/>
        <w:color w:val="526059"/>
        <w:sz w:val="18"/>
      </w:rPr>
      <w:fldChar w:fldCharType="begin"/>
      <w:instrText xml:space="preserve">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Cambria" w:hAnsi="Cambria" w:eastAsia="Cambria" w:cs="Cambria"/>
        <w:b w:val="0"/>
        <w:i/>
        <w:color w:val="526059"/>
        <w:sz w:val="18"/>
      </w:rPr>
      <w:t>Ekosistem Pendidikan Kedokteran Haji</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eastAsia="Calibri"/>
      <w:color w:val="17251F"/>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