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mbria" w:hAnsi="Cambria" w:eastAsia="Cambria" w:cs="Cambria"/>
          <w:b w:val="0"/>
          <w:i w:val="0"/>
          <w:color w:val="526059"/>
          <w:sz w:val="24"/>
        </w:rPr>
        <w:t>MK03 — Tatalaksana Kedaruratan Lapangan</w:t>
      </w:r>
    </w:p>
    <w:p>
      <w:pPr>
        <w:spacing w:before="0" w:after="280"/>
        <w:pBdr>
          <w:bottom w:val="single" w:sz="6" w:space="4" w:color="B6862C"/>
        </w:pBdr>
      </w:pPr>
      <w:r>
        <w:rPr>
          <w:rFonts w:ascii="Cambria" w:hAnsi="Cambria" w:eastAsia="Cambria" w:cs="Cambria"/>
          <w:b/>
          <w:i w:val="0"/>
          <w:color w:val="123D33"/>
          <w:sz w:val="40"/>
        </w:rPr>
        <w:t>Modul 1: Algoritma Penilaian Cepat Kegawatan di Lapangan</w:t>
      </w:r>
    </w:p>
    <w:p>
      <w:pPr>
        <w:spacing w:before="320" w:after="120"/>
        <w:pBdr>
          <w:bottom w:val="single" w:sz="4" w:space="4" w:color="1F6F5C"/>
        </w:pBdr>
      </w:pPr>
      <w:r>
        <w:rPr>
          <w:rFonts w:ascii="Cambria" w:hAnsi="Cambria" w:eastAsia="Cambria" w:cs="Cambria"/>
          <w:b/>
          <w:i w:val="0"/>
          <w:color w:val="1F6F5C"/>
          <w:sz w:val="28"/>
        </w:rPr>
        <w:t>A. Tujuan Pembelajaran</w:t>
      </w:r>
    </w:p>
    <w:p>
      <w:pPr>
        <w:spacing w:before="200" w:after="80"/>
      </w:pPr>
      <w:r>
        <w:rPr>
          <w:rFonts w:ascii="Cambria" w:hAnsi="Cambria" w:eastAsia="Cambria" w:cs="Cambria"/>
          <w:b/>
          <w:i w:val="0"/>
          <w:color w:val="123D33"/>
          <w:sz w:val="22"/>
        </w:rPr>
        <w:t>1. Pengetahuan</w:t>
      </w:r>
    </w:p>
    <w:p>
      <w:pPr>
        <w:pStyle w:val="ListBullet"/>
        <w:spacing w:after="80"/>
      </w:pPr>
      <w:r>
        <w:rPr>
          <w:rFonts w:ascii="Calibri" w:hAnsi="Calibri" w:eastAsia="Calibri" w:cs="Calibri"/>
          <w:b w:val="0"/>
          <w:i w:val="0"/>
          <w:color w:val="17251F"/>
          <w:sz w:val="22"/>
        </w:rPr>
        <w:t>Menjelaskan prinsip penilaian cepat (rapid assessment) menggunakan kombinasi ABCDE dan skala AVPU di lapangan haji.</w:t>
      </w:r>
    </w:p>
    <w:p>
      <w:pPr>
        <w:pStyle w:val="ListBullet"/>
        <w:spacing w:after="80"/>
      </w:pPr>
      <w:r>
        <w:rPr>
          <w:rFonts w:ascii="Calibri" w:hAnsi="Calibri" w:eastAsia="Calibri" w:cs="Calibri"/>
          <w:b w:val="0"/>
          <w:i w:val="0"/>
          <w:color w:val="17251F"/>
          <w:sz w:val="22"/>
        </w:rPr>
        <w:t>Menguraikan sistem kode warna triase lapangan (Hijau, Kuning, Merah) dan kriteria masing-masing kategori.</w:t>
      </w:r>
    </w:p>
    <w:p>
      <w:pPr>
        <w:pStyle w:val="ListBullet"/>
        <w:spacing w:after="80"/>
      </w:pPr>
      <w:r>
        <w:rPr>
          <w:rFonts w:ascii="Calibri" w:hAnsi="Calibri" w:eastAsia="Calibri" w:cs="Calibri"/>
          <w:b w:val="0"/>
          <w:i w:val="0"/>
          <w:color w:val="17251F"/>
          <w:sz w:val="22"/>
        </w:rPr>
        <w:t>Menjelaskan prinsip triase pada situasi multi-korban: memprioritaskan berdasarkan kegawatan, bukan urutan kedatangan.</w:t>
      </w:r>
    </w:p>
    <w:p>
      <w:pPr>
        <w:spacing w:before="200" w:after="80"/>
      </w:pPr>
      <w:r>
        <w:rPr>
          <w:rFonts w:ascii="Cambria" w:hAnsi="Cambria" w:eastAsia="Cambria" w:cs="Cambria"/>
          <w:b/>
          <w:i w:val="0"/>
          <w:color w:val="123D33"/>
          <w:sz w:val="22"/>
        </w:rPr>
        <w:t>2. Sikap</w:t>
      </w:r>
    </w:p>
    <w:p>
      <w:pPr>
        <w:pStyle w:val="ListBullet"/>
        <w:spacing w:after="80"/>
      </w:pPr>
      <w:r>
        <w:rPr>
          <w:rFonts w:ascii="Calibri" w:hAnsi="Calibri" w:eastAsia="Calibri" w:cs="Calibri"/>
          <w:b w:val="0"/>
          <w:i w:val="0"/>
          <w:color w:val="17251F"/>
          <w:sz w:val="22"/>
        </w:rPr>
        <w:t>Menunjukkan kedisiplinan melakukan re-triase berkala, tidak menganggap penilaian awal sebagai status tetap.</w:t>
      </w:r>
    </w:p>
    <w:p>
      <w:pPr>
        <w:pStyle w:val="ListBullet"/>
        <w:spacing w:after="80"/>
      </w:pPr>
      <w:r>
        <w:rPr>
          <w:rFonts w:ascii="Calibri" w:hAnsi="Calibri" w:eastAsia="Calibri" w:cs="Calibri"/>
          <w:b w:val="0"/>
          <w:i w:val="0"/>
          <w:color w:val="17251F"/>
          <w:sz w:val="22"/>
        </w:rPr>
        <w:t>Menghargai kontribusi tim non-medis yang telah dilatih dalam memperluas jangkauan deteksi dini.</w:t>
      </w:r>
    </w:p>
    <w:p>
      <w:pPr>
        <w:spacing w:before="200" w:after="80"/>
      </w:pPr>
      <w:r>
        <w:rPr>
          <w:rFonts w:ascii="Cambria" w:hAnsi="Cambria" w:eastAsia="Cambria" w:cs="Cambria"/>
          <w:b/>
          <w:i w:val="0"/>
          <w:color w:val="123D33"/>
          <w:sz w:val="22"/>
        </w:rPr>
        <w:t>3. Psikomotor</w:t>
      </w:r>
    </w:p>
    <w:p>
      <w:pPr>
        <w:pStyle w:val="ListBullet"/>
        <w:spacing w:after="80"/>
      </w:pPr>
      <w:r>
        <w:rPr>
          <w:rFonts w:ascii="Calibri" w:hAnsi="Calibri" w:eastAsia="Calibri" w:cs="Calibri"/>
          <w:b w:val="0"/>
          <w:i w:val="0"/>
          <w:color w:val="17251F"/>
          <w:sz w:val="22"/>
        </w:rPr>
        <w:t>Mendemonstrasikan algoritma triase cepat ABCDE-AVPU pada simulasi kasus tunggal maupun multi-korban.</w:t>
      </w:r>
    </w:p>
    <w:p>
      <w:pPr>
        <w:pStyle w:val="ListBullet"/>
        <w:spacing w:after="80"/>
      </w:pPr>
      <w:r>
        <w:rPr>
          <w:rFonts w:ascii="Calibri" w:hAnsi="Calibri" w:eastAsia="Calibri" w:cs="Calibri"/>
          <w:b w:val="0"/>
          <w:i w:val="0"/>
          <w:color w:val="17251F"/>
          <w:sz w:val="22"/>
        </w:rPr>
        <w:t>Mempraktikkan pelatihan singkat tanda bahaya dasar kepada tim non-medis (perawat, ketua rombongan).</w:t>
      </w:r>
    </w:p>
    <w:p>
      <w:pPr>
        <w:spacing w:before="320" w:after="120"/>
        <w:pBdr>
          <w:bottom w:val="single" w:sz="4" w:space="4" w:color="1F6F5C"/>
        </w:pBdr>
      </w:pPr>
      <w:r>
        <w:rPr>
          <w:rFonts w:ascii="Cambria" w:hAnsi="Cambria" w:eastAsia="Cambria" w:cs="Cambria"/>
          <w:b/>
          <w:i w:val="0"/>
          <w:color w:val="1F6F5C"/>
          <w:sz w:val="28"/>
        </w:rPr>
        <w:t>B. Deskripsi</w:t>
      </w:r>
    </w:p>
    <w:p>
      <w:pPr>
        <w:spacing w:after="160" w:line="276" w:lineRule="auto"/>
      </w:pPr>
      <w:r>
        <w:rPr>
          <w:rFonts w:ascii="Calibri" w:hAnsi="Calibri" w:eastAsia="Calibri" w:cs="Calibri"/>
          <w:b w:val="0"/>
          <w:i w:val="0"/>
          <w:color w:val="17251F"/>
          <w:sz w:val="22"/>
        </w:rPr>
        <w:t>Tanpa sistem penilaian yang konsisten, dokter kloter berisiko melewatkan tanda bahaya di satu kasus sambil membuang waktu berharga di kasus lain yang sebenarnya stabil. Modul ini menjadi fondasi seluruh mata kuliah tatalaksana kedaruratan lapangan karena logika “siapa datang duluan, dilayani duluan” yang berlaku pada layanan biasa justru bisa membahayakan nyawa ketika lebih dari satu korban membutuhkan pertolongan bersamaan — situasi yang jamak terjadi di tengah kepadatan massa jemaah haji.</w:t>
      </w:r>
    </w:p>
    <w:p>
      <w:pPr>
        <w:spacing w:before="320" w:after="120"/>
        <w:pBdr>
          <w:bottom w:val="single" w:sz="4" w:space="4" w:color="1F6F5C"/>
        </w:pBdr>
      </w:pPr>
      <w:r>
        <w:rPr>
          <w:rFonts w:ascii="Cambria" w:hAnsi="Cambria" w:eastAsia="Cambria" w:cs="Cambria"/>
          <w:b/>
          <w:i w:val="0"/>
          <w:color w:val="1F6F5C"/>
          <w:sz w:val="28"/>
        </w:rPr>
        <w:t>C. Materi Inti</w:t>
      </w:r>
    </w:p>
    <w:p>
      <w:pPr>
        <w:spacing w:before="200" w:after="80"/>
      </w:pPr>
      <w:r>
        <w:rPr>
          <w:rFonts w:ascii="Cambria" w:hAnsi="Cambria" w:eastAsia="Cambria" w:cs="Cambria"/>
          <w:b/>
          <w:i w:val="0"/>
          <w:color w:val="123D33"/>
          <w:sz w:val="24"/>
        </w:rPr>
        <w:t>C.1 Prinsip Penilaian Cepat (Rapid Assessment)</w:t>
      </w:r>
    </w:p>
    <w:p>
      <w:pPr>
        <w:spacing w:after="160" w:line="276" w:lineRule="auto"/>
      </w:pPr>
      <w:r>
        <w:rPr>
          <w:rFonts w:ascii="Calibri" w:hAnsi="Calibri" w:eastAsia="Calibri" w:cs="Calibri"/>
          <w:b w:val="0"/>
          <w:i w:val="0"/>
          <w:color w:val="17251F"/>
          <w:sz w:val="22"/>
        </w:rPr>
        <w:t>Di tengah kepadatan jemaah dan keterbatasan waktu, dokter kloter memerlukan sistem penilaian cepat yang konsisten agar tidak melewatkan tanda bahaya sekaligus tidak membuang waktu pada kasus stabil. Pendekatan yang direkomendasikan adalah kombinasi penilaian primer ala kegawatdaruratan (Airway, Breathing, Circulation, Disability, Exposure — ABCDE) yang dipersingkat untuk konteks non-rumah sakit, dikombinasikan dengan penilaian kesadaran cepat menggunakan skala AVPU (Alert, Verbal, Pain, Unresponsive).</w:t>
      </w:r>
    </w:p>
    <w:p>
      <w:pPr>
        <w:spacing w:before="200" w:after="80"/>
      </w:pPr>
      <w:r>
        <w:rPr>
          <w:rFonts w:ascii="Cambria" w:hAnsi="Cambria" w:eastAsia="Cambria" w:cs="Cambria"/>
          <w:b/>
          <w:i w:val="0"/>
          <w:color w:val="123D33"/>
          <w:sz w:val="24"/>
        </w:rPr>
        <w:t>C.2 Algoritma Triase Lapangan Ringkas</w:t>
      </w:r>
    </w:p>
    <w:tbl>
      <w:tblPr>
        <w:tblW w:type="auto" w:w="0"/>
        <w:jc w:val="center"/>
        <w:tblLayout w:type="autofit"/>
        <w:tblLook w:firstColumn="1" w:firstRow="1" w:lastColumn="0" w:lastRow="0" w:noHBand="0" w:noVBand="1" w:val="04A0"/>
      </w:tblPr>
      <w:tblGrid>
        <w:gridCol w:w="9072"/>
      </w:tblGrid>
      <w:tr>
        <w:tc>
          <w:tcPr>
            <w:tcW w:type="dxa" w:w="9072"/>
            <w:shd w:val="clear" w:color="auto" w:fill="E8F2EE"/>
            <w:tcBorders>
              <w:left w:val="single" w:sz="18" w:color="1F6F5C"/>
              <w:top w:val="nil"/>
              <w:bottom w:val="nil"/>
              <w:right w:val="nil"/>
            </w:tcBorders>
            <w:tcMar>
              <w:top w:w="120" w:type="dxa"/>
              <w:bottom w:w="120" w:type="dxa"/>
              <w:left w:w="200" w:type="dxa"/>
              <w:right w:w="200" w:type="dxa"/>
            </w:tcMar>
          </w:tcPr>
          <w:p>
            <w:r/>
            <w:r>
              <w:rPr>
                <w:rFonts w:ascii="Cambria" w:hAnsi="Cambria" w:eastAsia="Cambria" w:cs="Cambria"/>
                <w:b/>
                <w:i w:val="0"/>
                <w:color w:val="123D33"/>
                <w:sz w:val="22"/>
              </w:rPr>
              <w:t>Algoritma C.2 — Triase Cepat Dokter Kloter</w:t>
            </w:r>
          </w:p>
          <w:p>
            <w:r>
              <w:rPr>
                <w:rFonts w:ascii="Calibri" w:hAnsi="Calibri" w:eastAsia="Calibri" w:cs="Calibri"/>
                <w:b w:val="0"/>
                <w:i w:val="0"/>
                <w:color w:val="17251F"/>
                <w:sz w:val="21"/>
              </w:rPr>
              <w:t>A — Airway: jalan napas bebas? dengarkan suara napas abnormal → B — Breathing: bernapas adekuat? hitung laju napas, nilai otot bantu napas → C — Circulation: nilai nadi, warna kulit, capillary refill → D — Disability: nilai kesadaran dengan AVPU, cek pupil bila dicurigai gangguan neurologis → E — Exposure: periksa suhu tubuh dan cedera tersembunyi → Klasifikasikan: Hijau (stabil, tangani di tempat), Kuning (observasi ketat, siapkan rujukan), Merah (gawat darurat, rujuk segera setelah stabilisasi awal).</w:t>
            </w:r>
          </w:p>
        </w:tc>
      </w:tr>
    </w:tbl>
    <w:p>
      <w:pPr>
        <w:spacing w:after="80"/>
      </w:pPr>
    </w:p>
    <w:tbl>
      <w:tblPr>
        <w:tblW w:type="auto" w:w="0"/>
        <w:jc w:val="center"/>
        <w:tblLayout w:type="fixed"/>
        <w:tblLook w:firstColumn="1" w:firstRow="1" w:lastColumn="0" w:lastRow="0" w:noHBand="0" w:noVBand="1" w:val="04A0"/>
      </w:tblPr>
      <w:tblGrid>
        <w:gridCol w:w="3024"/>
        <w:gridCol w:w="3024"/>
        <w:gridCol w:w="3024"/>
      </w:tblGrid>
      <w:tr>
        <w:tc>
          <w:tcPr>
            <w:tcW w:type="dxa" w:w="1701"/>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Kode</w:t>
            </w:r>
          </w:p>
        </w:tc>
        <w:tc>
          <w:tcPr>
            <w:tcW w:type="dxa" w:w="425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Kriteria Umum</w:t>
            </w:r>
          </w:p>
        </w:tc>
        <w:tc>
          <w:tcPr>
            <w:tcW w:type="dxa" w:w="3402"/>
            <w:shd w:val="clear" w:color="auto" w:fill="1F6F5C"/>
            <w:tcBorders>
              <w:top w:val="single" w:sz="4" w:space="0" w:color="E1E9E5"/>
              <w:left w:val="single" w:sz="4" w:space="0" w:color="E1E9E5"/>
              <w:bottom w:val="single" w:sz="4" w:space="0" w:color="E1E9E5"/>
              <w:right w:val="single" w:sz="4" w:space="0" w:color="E1E9E5"/>
            </w:tcBorders>
          </w:tcPr>
          <w:p>
            <w:r/>
            <w:r>
              <w:rPr>
                <w:rFonts w:ascii="Cambria" w:hAnsi="Cambria" w:eastAsia="Cambria" w:cs="Cambria"/>
                <w:b/>
                <w:i w:val="0"/>
                <w:color w:val="FFFFFF"/>
                <w:sz w:val="21"/>
              </w:rPr>
              <w:t>Tindakan</w:t>
            </w:r>
          </w:p>
        </w:tc>
      </w:tr>
      <w:tr>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Hijau</w:t>
            </w:r>
          </w:p>
        </w:tc>
        <w:tc>
          <w:tcPr>
            <w:tcW w:type="dxa" w:w="425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Sadar penuh, tanda vital normal, keluhan ringan</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Tangani di tenda kesehatan, edukasi, pulangkan</w:t>
            </w:r>
          </w:p>
        </w:tc>
      </w:tr>
      <w:tr>
        <w:tc>
          <w:tcPr>
            <w:tcW w:type="dxa" w:w="1701"/>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Kuning</w:t>
            </w:r>
          </w:p>
        </w:tc>
        <w:tc>
          <w:tcPr>
            <w:tcW w:type="dxa" w:w="425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Tanda vital sedikit menyimpang, keluhan sedang</w:t>
            </w:r>
          </w:p>
        </w:tc>
        <w:tc>
          <w:tcPr>
            <w:tcW w:type="dxa" w:w="3402"/>
            <w:shd w:val="clear" w:color="auto" w:fill="E8F2EE"/>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Observasi ketat, siapkan jalur rujukan</w:t>
            </w:r>
          </w:p>
        </w:tc>
      </w:tr>
      <w:tr>
        <w:tc>
          <w:tcPr>
            <w:tcW w:type="dxa" w:w="1701"/>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Merah</w:t>
            </w:r>
          </w:p>
        </w:tc>
        <w:tc>
          <w:tcPr>
            <w:tcW w:type="dxa" w:w="425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Gangguan kesadaran, tanda vital tidak stabil</w:t>
            </w:r>
          </w:p>
        </w:tc>
        <w:tc>
          <w:tcPr>
            <w:tcW w:type="dxa" w:w="3402"/>
            <w:shd w:val="clear" w:color="auto" w:fill="FFFFFF"/>
            <w:tcBorders>
              <w:top w:val="single" w:sz="4" w:space="0" w:color="E1E9E5"/>
              <w:left w:val="single" w:sz="4" w:space="0" w:color="E1E9E5"/>
              <w:bottom w:val="single" w:sz="4" w:space="0" w:color="E1E9E5"/>
              <w:right w:val="single" w:sz="4" w:space="0" w:color="E1E9E5"/>
            </w:tcBorders>
          </w:tcPr>
          <w:p>
            <w:r/>
            <w:r>
              <w:rPr>
                <w:rFonts w:ascii="Calibri" w:hAnsi="Calibri" w:eastAsia="Calibri" w:cs="Calibri"/>
                <w:b w:val="0"/>
                <w:i w:val="0"/>
                <w:color w:val="17251F"/>
                <w:sz w:val="20"/>
              </w:rPr>
              <w:t>Stabilisasi segera, rujuk emergensi</w:t>
            </w:r>
          </w:p>
        </w:tc>
      </w:tr>
    </w:tbl>
    <w:p>
      <w:pPr>
        <w:spacing w:after="80"/>
      </w:pPr>
    </w:p>
    <w:p>
      <w:pPr>
        <w:spacing w:before="200" w:after="80"/>
      </w:pPr>
      <w:r>
        <w:rPr>
          <w:rFonts w:ascii="Cambria" w:hAnsi="Cambria" w:eastAsia="Cambria" w:cs="Cambria"/>
          <w:b/>
          <w:i w:val="0"/>
          <w:color w:val="123D33"/>
          <w:sz w:val="24"/>
        </w:rPr>
        <w:t>C.3 Penerapan pada Situasi Multi-Korban</w:t>
      </w:r>
    </w:p>
    <w:p>
      <w:pPr>
        <w:spacing w:after="160" w:line="276" w:lineRule="auto"/>
      </w:pPr>
      <w:r>
        <w:rPr>
          <w:rFonts w:ascii="Calibri" w:hAnsi="Calibri" w:eastAsia="Calibri" w:cs="Calibri"/>
          <w:b w:val="0"/>
          <w:i w:val="0"/>
          <w:color w:val="17251F"/>
          <w:sz w:val="22"/>
        </w:rPr>
        <w:t>Ketika lebih dari satu jemaah membutuhkan penanganan bersamaan, prinsip triase berubah dari “obati yang pertama datang” menjadi “obati yang paling membutuhkan lebih dulu”. Dokter kloter perlu melatih diri dan tim melakukan triase ulang secara berkala karena status pasien dapat berubah dalam hitungan menit — pasien kuning dapat memburuk menjadi merah bila tidak dipantau.</w:t>
      </w:r>
    </w:p>
    <w:p>
      <w:pPr>
        <w:spacing w:before="200" w:after="80"/>
      </w:pPr>
      <w:r>
        <w:rPr>
          <w:rFonts w:ascii="Cambria" w:hAnsi="Cambria" w:eastAsia="Cambria" w:cs="Cambria"/>
          <w:b/>
          <w:i w:val="0"/>
          <w:color w:val="123D33"/>
          <w:sz w:val="24"/>
        </w:rPr>
        <w:t>C.4 Kesalahan Umum dalam Penilaian Cepat</w:t>
      </w:r>
    </w:p>
    <w:p>
      <w:pPr>
        <w:pStyle w:val="ListBullet"/>
        <w:spacing w:after="80"/>
      </w:pPr>
      <w:r>
        <w:rPr>
          <w:rFonts w:ascii="Calibri" w:hAnsi="Calibri" w:eastAsia="Calibri" w:cs="Calibri"/>
          <w:b w:val="0"/>
          <w:i w:val="0"/>
          <w:color w:val="17251F"/>
          <w:sz w:val="22"/>
        </w:rPr>
        <w:t>Terlalu fokus pada keluhan verbal tanpa pemeriksaan objektif ABCDE lengkap.</w:t>
      </w:r>
    </w:p>
    <w:p>
      <w:pPr>
        <w:pStyle w:val="ListBullet"/>
        <w:spacing w:after="80"/>
      </w:pPr>
      <w:r>
        <w:rPr>
          <w:rFonts w:ascii="Calibri" w:hAnsi="Calibri" w:eastAsia="Calibri" w:cs="Calibri"/>
          <w:b w:val="0"/>
          <w:i w:val="0"/>
          <w:color w:val="17251F"/>
          <w:sz w:val="22"/>
        </w:rPr>
        <w:t>Mengabaikan pasien yang tampak tenang namun sebenarnya mengalami penurunan kesadaran ringan.</w:t>
      </w:r>
    </w:p>
    <w:p>
      <w:pPr>
        <w:pStyle w:val="ListBullet"/>
        <w:spacing w:after="80"/>
      </w:pPr>
      <w:r>
        <w:rPr>
          <w:rFonts w:ascii="Calibri" w:hAnsi="Calibri" w:eastAsia="Calibri" w:cs="Calibri"/>
          <w:b w:val="0"/>
          <w:i w:val="0"/>
          <w:color w:val="17251F"/>
          <w:sz w:val="22"/>
        </w:rPr>
        <w:t>Tidak melakukan re-triase pada pasien yang menunggu observasi lebih dari 15–30 menit.</w:t>
      </w:r>
    </w:p>
    <w:p>
      <w:pPr>
        <w:spacing w:before="200" w:after="80"/>
      </w:pPr>
      <w:r>
        <w:rPr>
          <w:rFonts w:ascii="Cambria" w:hAnsi="Cambria" w:eastAsia="Cambria" w:cs="Cambria"/>
          <w:b/>
          <w:i w:val="0"/>
          <w:color w:val="123D33"/>
          <w:sz w:val="24"/>
        </w:rPr>
        <w:t>C.5 Melatih Tim Non-Dokter untuk Triase Awal</w:t>
      </w:r>
    </w:p>
    <w:p>
      <w:pPr>
        <w:spacing w:after="160" w:line="276" w:lineRule="auto"/>
      </w:pPr>
      <w:r>
        <w:rPr>
          <w:rFonts w:ascii="Calibri" w:hAnsi="Calibri" w:eastAsia="Calibri" w:cs="Calibri"/>
          <w:b w:val="0"/>
          <w:i w:val="0"/>
          <w:color w:val="17251F"/>
          <w:sz w:val="22"/>
        </w:rPr>
        <w:t>Dokter kloter tidak selalu berada tepat di lokasi kejadian saat kegawatan pertama kali muncul. Perawat kloter, kader kesehatan, bahkan ketua rombongan dapat dilatih mengenali tanda bahaya dasar menggunakan bahasa sederhana. Pelatihan singkat 15–20 menit sebelum musim puncak ibadah dimulai dapat mempercepat waktu deteksi kegawatan secara signifikan, dan idealnya diulang berkala sepanjang musim, bukan hanya sekali di awal.</w:t>
      </w:r>
    </w:p>
    <w:p>
      <w:pPr>
        <w:spacing w:before="320" w:after="120"/>
        <w:pBdr>
          <w:bottom w:val="single" w:sz="4" w:space="4" w:color="1F6F5C"/>
        </w:pBdr>
      </w:pPr>
      <w:r>
        <w:rPr>
          <w:rFonts w:ascii="Cambria" w:hAnsi="Cambria" w:eastAsia="Cambria" w:cs="Cambria"/>
          <w:b/>
          <w:i w:val="0"/>
          <w:color w:val="1F6F5C"/>
          <w:sz w:val="28"/>
        </w:rPr>
        <w:t>D. Ilustrasi Kasus (Vignette)</w:t>
      </w:r>
    </w:p>
    <w:p>
      <w:pPr>
        <w:spacing w:after="160" w:line="276" w:lineRule="auto"/>
      </w:pPr>
      <w:r>
        <w:rPr>
          <w:rFonts w:ascii="Calibri" w:hAnsi="Calibri" w:eastAsia="Calibri" w:cs="Calibri"/>
          <w:b w:val="0"/>
          <w:i w:val="0"/>
          <w:color w:val="17251F"/>
          <w:sz w:val="22"/>
        </w:rPr>
        <w:t>Pasca-insiden desakan kecil di pintu masuk, dokter kloter menemukan tiga jemaah cedera sekaligus: satu memar ringan, satu diduga fraktur pergelangan kaki, dan satu lansia yang tampak sesak. Alih-alih menangani berdasarkan siapa yang paling dekat, ia langsung memprioritaskan jemaah yang sesak napas terlebih dahulu — keputusan berbasis kegawatan, bukan urutan kedatangan. Sementara itu, seorang ketua rombongan yang telah dilatih mengenali tanda bahaya dasar sebelumnya segera memanggil dokter kloter ketika melihat anggota kelompoknya berjalan sempoyongan dan bicara tidak jelas di tengah kerumunan — deteksi dini yang mungkin terlambat bila hanya mengandalkan dokter kloter menemukan sendiri kasus tersebut.</w:t>
      </w:r>
    </w:p>
    <w:p>
      <w:pPr>
        <w:spacing w:before="320" w:after="120"/>
        <w:pBdr>
          <w:bottom w:val="single" w:sz="4" w:space="4" w:color="1F6F5C"/>
        </w:pBdr>
      </w:pPr>
      <w:r>
        <w:rPr>
          <w:rFonts w:ascii="Cambria" w:hAnsi="Cambria" w:eastAsia="Cambria" w:cs="Cambria"/>
          <w:b/>
          <w:i w:val="0"/>
          <w:color w:val="1F6F5C"/>
          <w:sz w:val="28"/>
        </w:rPr>
        <w:t>E. Referensi</w:t>
      </w:r>
    </w:p>
    <w:p>
      <w:pPr>
        <w:spacing w:after="80" w:line="276" w:lineRule="auto"/>
      </w:pPr>
      <w:r>
        <w:rPr>
          <w:rFonts w:ascii="Calibri" w:hAnsi="Calibri" w:eastAsia="Calibri" w:cs="Calibri"/>
          <w:b w:val="0"/>
          <w:i w:val="0"/>
          <w:color w:val="17251F"/>
          <w:sz w:val="22"/>
        </w:rPr>
        <w:t>1. Rujukan spesifik untuk topik "pedoman resmi triase lapangan kegiatan massal versi Indonesia" [DASAR TIDAK TERVERIFIKASI SECARA DARING — AI tidak menemukan dokumen resmi spesifik ini melalui pencarian web dan TIDAK mengklaim dokumen ini ada. Mohon konfirmasi judul, penerbit, tahun, dan tautan resminya; bila Anda dapat mengunggah/menunjukkan sumbernya, referensi ini akan diperbarui.]</w:t>
      </w:r>
    </w:p>
    <w:p>
      <w:pPr>
        <w:spacing w:after="80" w:line="276" w:lineRule="auto"/>
      </w:pPr>
      <w:r>
        <w:rPr>
          <w:rFonts w:ascii="Calibri" w:hAnsi="Calibri" w:eastAsia="Calibri" w:cs="Calibri"/>
          <w:b w:val="0"/>
          <w:i w:val="0"/>
          <w:color w:val="17251F"/>
          <w:sz w:val="22"/>
        </w:rPr>
        <w:t>2. Buku Tematik Fellowship Kedokteran Haji (B2) — Bab 1. Perpustakaan Digital ABBA.</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eastAsia="Calibri" w:cs="Calibri"/>
        <w:b w:val="0"/>
        <w:i w:val="0"/>
        <w:color w:val="526059"/>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mbria" w:hAnsi="Cambria" w:eastAsia="Cambria" w:cs="Cambria"/>
        <w:b w:val="0"/>
        <w:i/>
        <w:color w:val="526059"/>
        <w:sz w:val="18"/>
      </w:rPr>
      <w:t>Ekosistem Pendidikan Kedokteran Haji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olor w:val="17251F"/>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