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MK06 — Logistik Medis dan Koordinasi TKHI Lapangan</w:t>
      </w:r>
    </w:p>
    <w:p>
      <w:pPr>
        <w:pBdr>
          <w:bottom w:val="single" w:color="B6862C" w:sz="12" w:space="6"/>
        </w:pBdr>
        <w:spacing w:after="300"/>
      </w:pPr>
      <w:r>
        <w:rPr>
          <w:rFonts w:ascii="Cambria" w:cs="Cambria" w:eastAsia="Cambria" w:hAnsi="Cambria"/>
          <w:b/>
          <w:bCs/>
          <w:color w:val="123D33"/>
          <w:sz w:val="40"/>
          <w:szCs w:val="40"/>
        </w:rPr>
        <w:t xml:space="preserve">Modul 1: Struktur Organisasi dan Rantai Komando Tim Kesehatan Haji</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Menjelaskan struktur berjenjang tim kesehatan haji dari TKHI Kloter hingga Kemenhaj.</w:t>
      </w:r>
    </w:p>
    <w:p>
      <w:pPr>
        <w:pStyle w:val="ListParagraph"/>
        <w:numPr>
          <w:ilvl w:val="0"/>
          <w:numId w:val="1"/>
        </w:numPr>
        <w:spacing w:after="80"/>
      </w:pPr>
      <w:r>
        <w:rPr>
          <w:rFonts w:ascii="Calibri" w:cs="Calibri" w:eastAsia="Calibri" w:hAnsi="Calibri"/>
          <w:color w:val="17251F"/>
          <w:sz w:val="22"/>
          <w:szCs w:val="22"/>
        </w:rPr>
        <w:t xml:space="preserve">Menjelaskan keterbatasan wewenang pada setiap jenjang organisasi kesehatan haji.</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Menunjukkan proaktivitas membangun jaringan komunikasi dengan KKHI Sektor sejak awal musim, bukan menunggu kegawatan pertama.</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Menerapkan algoritma penentuan jalur eskalasi untuk isu non-klinis.</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Dokter kloter yang tidak tahu harus menghubungi siapa saat situasi mendesak akan kehilangan waktu berharga hanya untuk mencari jalur yang benar — pengetahuan struktur organisasi ini perlu dikuasai jauh sebelum benar-benar dibutuhkan.</w:t>
      </w:r>
    </w:p>
    <w:p>
      <w:pPr>
        <w:spacing w:after="140" w:line="300"/>
      </w:pPr>
      <w:r>
        <w:rPr>
          <w:rFonts w:ascii="Calibri" w:cs="Calibri" w:eastAsia="Calibri" w:hAnsi="Calibri"/>
          <w:i w:val="false"/>
          <w:iCs w:val="false"/>
          <w:color w:val="17251F"/>
          <w:sz w:val="22"/>
          <w:szCs w:val="22"/>
        </w:rPr>
        <w:t xml:space="preserve">Modul ini menjadi fondasi bagi seluruh modul lain dalam mata kuliah ini, karena logistik (Modul 2), koordinasi KKHI (Modul 3), hingga pelaporan akhir musim (Modul 7) semuanya beroperasi di dalam kerangka struktur organisasi yang dibahas di sini.</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Struktur Berjenjang Tim Kesehatan Haji</w:t>
      </w:r>
    </w:p>
    <w:p>
      <w:pPr>
        <w:spacing w:after="140" w:line="300"/>
      </w:pPr>
      <w:r>
        <w:rPr>
          <w:rFonts w:ascii="Calibri" w:cs="Calibri" w:eastAsia="Calibri" w:hAnsi="Calibri"/>
          <w:i w:val="false"/>
          <w:iCs w:val="false"/>
          <w:color w:val="17251F"/>
          <w:sz w:val="22"/>
          <w:szCs w:val="22"/>
        </w:rPr>
        <w:t xml:space="preserve">Struktur umum tim kesehatan haji tersusun berjenjang: TKHI di tingkat kloter (dokter dan perawat), KKHI Sektor yang mengoordinasikan beberapa kloter dalam satu area, KKHI Daker (Daerah Kerja) yang membawahi beberapa sektor, hingga koordinasi tingkat nasional oleh Kemenhaj.</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Jenjang</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Cakupan</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Fungsi Utama</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TKHI Kloter</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1 kloter (~350–450 jemaah)</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Pelayanan klinis langsung, pelaporan harian</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KKHI Sektor</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Beberapa kloter dalam satu area</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Rujukan klinis, koordinasi logistik antar-kloter</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KKHI Daker</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Beberapa sektor dalam satu daerah kerja</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Rujukan lanjutan, koordinasi kebijakan operasional</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Kemenhaj (Pusat)</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Nasional</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Kebijakan, surveilans data SISKOHAT, evaluasi kebijakan</w:t>
            </w:r>
          </w:p>
        </w:tc>
      </w:tr>
    </w:tbl>
    <w:p>
      <w:pPr>
        <w:spacing w:after="90" w:before="200"/>
      </w:pPr>
      <w:r>
        <w:rPr>
          <w:rFonts w:ascii="Cambria" w:cs="Cambria" w:eastAsia="Cambria" w:hAnsi="Cambria"/>
          <w:b/>
          <w:bCs/>
          <w:color w:val="123D33"/>
          <w:sz w:val="23"/>
          <w:szCs w:val="23"/>
        </w:rPr>
        <w:t xml:space="preserve">2. Algoritma Penentuan Jalur Eskalasi Non-Klinis</w:t>
      </w:r>
    </w:p>
    <w:p>
      <w:pPr>
        <w:pStyle w:val="ListParagraph"/>
        <w:numPr>
          <w:ilvl w:val="0"/>
          <w:numId w:val="1"/>
        </w:numPr>
        <w:spacing w:after="80"/>
      </w:pPr>
      <w:r>
        <w:rPr>
          <w:rFonts w:ascii="Calibri" w:cs="Calibri" w:eastAsia="Calibri" w:hAnsi="Calibri"/>
          <w:color w:val="17251F"/>
          <w:sz w:val="22"/>
          <w:szCs w:val="22"/>
        </w:rPr>
        <w:t xml:space="preserve">Identifikasi jenis isu: logistik (Modul 2), koordinasi sektor (Modul 3), atau isu personel/tim (Modul 5–6).</w:t>
      </w:r>
    </w:p>
    <w:p>
      <w:pPr>
        <w:pStyle w:val="ListParagraph"/>
        <w:numPr>
          <w:ilvl w:val="0"/>
          <w:numId w:val="1"/>
        </w:numPr>
        <w:spacing w:after="80"/>
      </w:pPr>
      <w:r>
        <w:rPr>
          <w:rFonts w:ascii="Calibri" w:cs="Calibri" w:eastAsia="Calibri" w:hAnsi="Calibri"/>
          <w:color w:val="17251F"/>
          <w:sz w:val="22"/>
          <w:szCs w:val="22"/>
        </w:rPr>
        <w:t xml:space="preserve">Tentukan apakah isu dapat diselesaikan pada tingkat kloter atau memerlukan eskalasi.</w:t>
      </w:r>
    </w:p>
    <w:p>
      <w:pPr>
        <w:pStyle w:val="ListParagraph"/>
        <w:numPr>
          <w:ilvl w:val="0"/>
          <w:numId w:val="1"/>
        </w:numPr>
        <w:spacing w:after="80"/>
      </w:pPr>
      <w:r>
        <w:rPr>
          <w:rFonts w:ascii="Calibri" w:cs="Calibri" w:eastAsia="Calibri" w:hAnsi="Calibri"/>
          <w:color w:val="17251F"/>
          <w:sz w:val="22"/>
          <w:szCs w:val="22"/>
        </w:rPr>
        <w:t xml:space="preserve">Bila memerlukan eskalasi, hubungi penanggung jawab sektor sesuai jenis isu.</w:t>
      </w:r>
    </w:p>
    <w:p>
      <w:pPr>
        <w:pStyle w:val="ListParagraph"/>
        <w:numPr>
          <w:ilvl w:val="0"/>
          <w:numId w:val="1"/>
        </w:numPr>
        <w:spacing w:after="80"/>
      </w:pPr>
      <w:r>
        <w:rPr>
          <w:rFonts w:ascii="Calibri" w:cs="Calibri" w:eastAsia="Calibri" w:hAnsi="Calibri"/>
          <w:color w:val="17251F"/>
          <w:sz w:val="22"/>
          <w:szCs w:val="22"/>
        </w:rPr>
        <w:t xml:space="preserve">Dokumentasikan isu dan tindak lanjut yang diberikan untuk referensi dan evaluasi akhir musim (Modul 7).</w:t>
      </w:r>
    </w:p>
    <w:p>
      <w:pPr>
        <w:pStyle w:val="ListParagraph"/>
        <w:numPr>
          <w:ilvl w:val="0"/>
          <w:numId w:val="1"/>
        </w:numPr>
        <w:spacing w:after="80"/>
      </w:pPr>
      <w:r>
        <w:rPr>
          <w:rFonts w:ascii="Calibri" w:cs="Calibri" w:eastAsia="Calibri" w:hAnsi="Calibri"/>
          <w:color w:val="17251F"/>
          <w:sz w:val="22"/>
          <w:szCs w:val="22"/>
        </w:rPr>
        <w:t xml:space="preserve">Tindak lanjuti hasil eskalasi dan pastikan penyelesaian, jangan menganggap isu selesai hanya karena telah dilaporkan.</w:t>
      </w:r>
    </w:p>
    <w:p>
      <w:pPr>
        <w:spacing w:after="90" w:before="200"/>
      </w:pPr>
      <w:r>
        <w:rPr>
          <w:rFonts w:ascii="Cambria" w:cs="Cambria" w:eastAsia="Cambria" w:hAnsi="Cambria"/>
          <w:b/>
          <w:bCs/>
          <w:color w:val="123D33"/>
          <w:sz w:val="23"/>
          <w:szCs w:val="23"/>
        </w:rPr>
        <w:t xml:space="preserve">3. Memahami Keterbatasan Wewenang di Setiap Jenjang</w:t>
      </w:r>
    </w:p>
    <w:p>
      <w:pPr>
        <w:spacing w:after="140" w:line="300"/>
      </w:pPr>
      <w:r>
        <w:rPr>
          <w:rFonts w:ascii="Calibri" w:cs="Calibri" w:eastAsia="Calibri" w:hAnsi="Calibri"/>
          <w:i w:val="false"/>
          <w:iCs w:val="false"/>
          <w:color w:val="17251F"/>
          <w:sz w:val="22"/>
          <w:szCs w:val="22"/>
        </w:rPr>
        <w:t xml:space="preserve">Setiap jenjang memiliki keterbatasan wewenang yang perlu dipahami agar dokter kloter tidak salah alamat dalam menyampaikan kebutuhan. KKHI Sektor umumnya berwenang untuk koordinasi logistik dan rujukan klinis tingkat pertama, namun keputusan kebijakan yang lebih besar berada di luar wewenangnya dan perlu dieskalasikan ke KKHI Daker atau Kemenhaj.</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E1E9E5" w:sz="4"/>
              <w:left w:val="single" w:color="E1E9E5" w:sz="4"/>
              <w:bottom w:val="single" w:color="E1E9E5" w:sz="4"/>
              <w:right w:val="single" w:color="E1E9E5" w:sz="4"/>
            </w:tcBorders>
            <w:shd w:fill="E8F2EE" w:val="clear"/>
            <w:tcMar>
              <w:top w:type="dxa" w:w="140"/>
              <w:left w:type="dxa" w:w="180"/>
              <w:bottom w:type="dxa" w:w="140"/>
              <w:right w:type="dxa" w:w="180"/>
            </w:tcMar>
          </w:tcPr>
          <w:p>
            <w:r>
              <w:rPr>
                <w:rFonts w:ascii="Calibri" w:cs="Calibri" w:eastAsia="Calibri" w:hAnsi="Calibri"/>
                <w:color w:val="17251F"/>
                <w:sz w:val="22"/>
                <w:szCs w:val="22"/>
              </w:rPr>
              <w:t xml:space="preserve">Investasi Awal: perkenalan dan pertukaran kontak dengan petugas KKHI Sektor sejak hari pertama adalah investasi kecil dengan manfaat besar ketika koordinasi cepat benar-benar dibutuhkan.</w:t>
            </w:r>
          </w:p>
        </w:tc>
      </w:tr>
    </w:tbl>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Ketika stok cairan infus di satu kloter mulai menipis menjelang fase puncak ibadah, dokter kloter yang memahami jalur eskalasi logistik langsung menghubungi bagian logistik KKHI Sektor, bukan menunggu atau mencoba menyelesaikannya sendiri dengan cara tidak resmi. Pada kasus lain, seorang dokter kloter yang ingin mengajukan perubahan alokasi tenaga perawat antar-kloter memahami bahwa keputusan ini di luar wewenang KKHI Sektor semata, sehingga ia menyiapkan pengajuan terstruktur untuk diteruskan ke KKHI Daker, alih-alih berulang kali menagih jawaban dari pihak yang tidak dapat memutuskannya.</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Kementerian Kesehatan Republik Indonesia. Pedoman Pelaporan dan Evaluasi Kinerja Tim Kesehatan Haji Indonesia (TKHI). Jakarta: Kemenkes RI. [URL belum diverifikasi — dokumen internal, silakan lampirkan bila tersedia untuk verifikasi]</w:t>
      </w:r>
    </w:p>
    <w:p>
      <w:pPr>
        <w:spacing w:after="100"/>
        <w:ind w:left="360" w:hanging="360"/>
      </w:pPr>
      <w:r>
        <w:rPr>
          <w:rFonts w:ascii="Calibri" w:cs="Calibri" w:eastAsia="Calibri" w:hAnsi="Calibri"/>
          <w:color w:val="17251F"/>
          <w:sz w:val="20"/>
          <w:szCs w:val="20"/>
        </w:rPr>
        <w:t xml:space="preserve">2. Al-Tawfiq JA, Memish ZA. Health issues in the Hajj pilgrimage: a literature review. East Mediterr Health J. 2019;25(10). Tersedia di: https://www.emro.who.int/emhj-volume-25-2019/volume-25-issue-10/health-issues-in-the-hajj-pilgrimage-a-literature-review.html</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MK06 · Modul 1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2026-07-15T19:33:05.931Z</dcterms:created>
  <dcterms:modified xsi:type="dcterms:W3CDTF">2026-07-15T19:33:05.931Z</dcterms:modified>
</cp:coreProperties>
</file>

<file path=docProps/custom.xml><?xml version="1.0" encoding="utf-8"?>
<Properties xmlns="http://schemas.openxmlformats.org/officeDocument/2006/custom-properties" xmlns:vt="http://schemas.openxmlformats.org/officeDocument/2006/docPropsVTypes"/>
</file>