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b/>
          <w:bCs/>
          <w:color w:val="526059"/>
          <w:sz w:val="20"/>
          <w:szCs w:val="20"/>
        </w:rPr>
        <w:t xml:space="preserve">MK01</w:t>
      </w:r>
    </w:p>
    <w:p>
      <w:pPr>
        <w:pBdr>
          <w:bottom w:val="single" w:color="B6862C" w:sz="14" w:space="6"/>
        </w:pBdr>
        <w:spacing w:after="300"/>
      </w:pPr>
      <w:r>
        <w:rPr>
          <w:rFonts w:ascii="Cambria" w:cs="Cambria" w:eastAsia="Cambria" w:hAnsi="Cambria"/>
          <w:b/>
          <w:bCs/>
          <w:color w:val="123D33"/>
          <w:sz w:val="34"/>
          <w:szCs w:val="34"/>
        </w:rPr>
        <w:t xml:space="preserve">Fondasi Kedokteran Haji Lintas Jalur — Modul 2: Konsep Dasar Istithaah Kesehatan Haji</w:t>
      </w:r>
    </w:p>
    <w:p>
      <w:pPr>
        <w:pBdr>
          <w:bottom w:val="single" w:color="1F6F5C" w:sz="8" w:space="4"/>
        </w:pBdr>
        <w:spacing w:after="200" w:before="400"/>
      </w:pPr>
      <w:r>
        <w:rPr>
          <w:rFonts w:ascii="Cambria" w:cs="Cambria" w:eastAsia="Cambria" w:hAnsi="Cambria"/>
          <w:b/>
          <w:bCs/>
          <w:color w:val="1F6F5C"/>
          <w:sz w:val="28"/>
          <w:szCs w:val="28"/>
        </w:rPr>
        <w:t xml:space="preserve">A. Tujuan Pembelajaran</w:t>
      </w:r>
    </w:p>
    <w:p>
      <w:pPr>
        <w:pStyle w:val="Heading4"/>
        <w:spacing w:after="120" w:before="240"/>
      </w:pPr>
      <w:r>
        <w:rPr>
          <w:rFonts w:ascii="Cambria" w:cs="Cambria" w:eastAsia="Cambria" w:hAnsi="Cambria"/>
          <w:b/>
          <w:bCs/>
          <w:color w:val="123D33"/>
          <w:sz w:val="24"/>
          <w:szCs w:val="24"/>
        </w:rPr>
        <w:t xml:space="preserve">1. Pengetahuan</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Menjelaskan definisi dan makna teknis Istithaah Kesehatan Haji sebagai kerangka pengambilan keputusan klinis-administratif.</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Menguraikan empat kategori kelaikan istithaah kesehatan beserta mekanisme pemeriksaan bertahap yang mendasarinya.</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Menjelaskan dasar hukum penetapan istithaah kesehatan di Indonesia serta mekanisme banding bagi calon jemaah.</w:t>
      </w:r>
    </w:p>
    <w:p>
      <w:pPr>
        <w:pStyle w:val="Heading4"/>
        <w:spacing w:after="120" w:before="240"/>
      </w:pPr>
      <w:r>
        <w:rPr>
          <w:rFonts w:ascii="Cambria" w:cs="Cambria" w:eastAsia="Cambria" w:hAnsi="Cambria"/>
          <w:b/>
          <w:bCs/>
          <w:color w:val="123D33"/>
          <w:sz w:val="24"/>
          <w:szCs w:val="24"/>
        </w:rPr>
        <w:t xml:space="preserve">2. Sikap</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Menunjukkan kepekaan etika dalam menyeimbangkan otonomi spiritual jemaah dengan prinsip non-maleficence.</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Menghargai pendekatan optimasi kondisi kesehatan dibandingkan penolakan semata dalam penetapan istithaah.</w:t>
      </w:r>
    </w:p>
    <w:p>
      <w:pPr>
        <w:pStyle w:val="Heading4"/>
        <w:spacing w:after="120" w:before="240"/>
      </w:pPr>
      <w:r>
        <w:rPr>
          <w:rFonts w:ascii="Cambria" w:cs="Cambria" w:eastAsia="Cambria" w:hAnsi="Cambria"/>
          <w:b/>
          <w:bCs/>
          <w:color w:val="123D33"/>
          <w:sz w:val="24"/>
          <w:szCs w:val="24"/>
        </w:rPr>
        <w:t xml:space="preserve">3. Psikomotor</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Mendemonstrasikan alur berpikir klinis untuk mengkategorikan status istithaah pada kasus dengan komorbiditas kronik menggunakan skenario simulasi.</w:t>
      </w:r>
    </w:p>
    <w:p>
      <w:pPr>
        <w:pBdr>
          <w:bottom w:val="single" w:color="1F6F5C" w:sz="8" w:space="4"/>
        </w:pBdr>
        <w:spacing w:after="200" w:before="400"/>
      </w:pPr>
      <w:r>
        <w:rPr>
          <w:rFonts w:ascii="Cambria" w:cs="Cambria" w:eastAsia="Cambria" w:hAnsi="Cambria"/>
          <w:b/>
          <w:bCs/>
          <w:color w:val="1F6F5C"/>
          <w:sz w:val="28"/>
          <w:szCs w:val="28"/>
        </w:rPr>
        <w:t xml:space="preserve">B. Deskripsi</w:t>
      </w:r>
    </w:p>
    <w:p>
      <w:pPr>
        <w:spacing w:after="160" w:line="300"/>
        <w:jc w:val="both"/>
      </w:pPr>
      <w:r>
        <w:rPr>
          <w:rFonts w:ascii="Calibri" w:cs="Calibri" w:eastAsia="Calibri" w:hAnsi="Calibri"/>
          <w:i w:val="false"/>
          <w:iCs w:val="false"/>
          <w:color w:val="17251F"/>
          <w:sz w:val="22"/>
          <w:szCs w:val="22"/>
        </w:rPr>
        <w:t xml:space="preserve">Istithaah kesehatan bukan sekadar formalitas administratif sebelum keberangkatan; ia adalah keputusan yang membawa konsekuensi hukum, medis, dan spiritual sekaligus. Mahasiswa perlu mempelajari konsep ini secara presisi karena kekeliruan penerapannya—baik terlalu longgar maupun terlalu ketat—dapat merugikan jemaah secara nyata: yang satu meningkatkan risiko kegawatan di tanah suci, yang lain menghalangi hak beribadah tanpa dasar medis yang kuat.</w:t>
      </w:r>
    </w:p>
    <w:p>
      <w:pPr>
        <w:spacing w:after="160" w:line="300"/>
        <w:jc w:val="both"/>
      </w:pPr>
      <w:r>
        <w:rPr>
          <w:rFonts w:ascii="Calibri" w:cs="Calibri" w:eastAsia="Calibri" w:hAnsi="Calibri"/>
          <w:i w:val="false"/>
          <w:iCs w:val="false"/>
          <w:color w:val="17251F"/>
          <w:sz w:val="22"/>
          <w:szCs w:val="22"/>
        </w:rPr>
        <w:t xml:space="preserve">Modul ini menjadi fondasi yang akan terus dirujuk pada hampir seluruh mata kuliah lanjutan, baik yang membahas tata laksana kegawatan lapangan, kebijakan kesehatan komparatif, maupun edukasi manasik kesehatan bagi jemaah awam.</w:t>
      </w:r>
    </w:p>
    <w:p>
      <w:pPr>
        <w:pBdr>
          <w:bottom w:val="single" w:color="1F6F5C" w:sz="8" w:space="4"/>
        </w:pBdr>
        <w:spacing w:after="200" w:before="400"/>
      </w:pPr>
      <w:r>
        <w:rPr>
          <w:rFonts w:ascii="Cambria" w:cs="Cambria" w:eastAsia="Cambria" w:hAnsi="Cambria"/>
          <w:b/>
          <w:bCs/>
          <w:color w:val="1F6F5C"/>
          <w:sz w:val="28"/>
          <w:szCs w:val="28"/>
        </w:rPr>
        <w:t xml:space="preserve">C. Materi Inti</w:t>
      </w:r>
    </w:p>
    <w:p>
      <w:pPr>
        <w:pStyle w:val="Heading3"/>
        <w:spacing w:after="120" w:before="240"/>
      </w:pPr>
      <w:r>
        <w:rPr>
          <w:rFonts w:ascii="Cambria" w:cs="Cambria" w:eastAsia="Cambria" w:hAnsi="Cambria"/>
          <w:b/>
          <w:bCs/>
          <w:color w:val="123D33"/>
          <w:sz w:val="24"/>
          <w:szCs w:val="24"/>
        </w:rPr>
        <w:t xml:space="preserve">Definisi dan Signifikansi Presisi Konsep</w:t>
      </w:r>
    </w:p>
    <w:p>
      <w:pPr>
        <w:spacing w:after="160" w:line="300"/>
        <w:jc w:val="both"/>
      </w:pPr>
      <w:r>
        <w:rPr>
          <w:rFonts w:ascii="Calibri" w:cs="Calibri" w:eastAsia="Calibri" w:hAnsi="Calibri"/>
          <w:i w:val="false"/>
          <w:iCs w:val="false"/>
          <w:color w:val="17251F"/>
          <w:sz w:val="22"/>
          <w:szCs w:val="22"/>
        </w:rPr>
        <w:t xml:space="preserve">Istithaah, secara harfiah, berarti kemampuan. Dalam konteks fikih ibadah haji, istithaah mencakup dimensi finansial, fisik, dan keamanan perjalanan. Namun dalam Kedokteran Haji, Istithaah Kesehatan Haji memiliki makna lebih spesifik: konsep kelaikan kesehatan seseorang untuk menunaikan ibadah haji, yang menjadi dasar hukum dan kebijakan penetapan kelayakan berangkat. Konsep ini bukan sekadar pemeriksaan kesehatan rutin, melainkan kerangka pengambilan keputusan klinis-administratif dengan konsekuensi hukum bagi calon jemaah, dokter pemeriksa, dan pemerintah.</w:t>
      </w:r>
    </w:p>
    <w:p>
      <w:pPr>
        <w:spacing w:after="160" w:line="300"/>
        <w:jc w:val="both"/>
      </w:pPr>
      <w:r>
        <w:rPr>
          <w:rFonts w:ascii="Calibri" w:cs="Calibri" w:eastAsia="Calibri" w:hAnsi="Calibri"/>
          <w:i w:val="false"/>
          <w:iCs w:val="false"/>
          <w:color w:val="17251F"/>
          <w:sz w:val="22"/>
          <w:szCs w:val="22"/>
        </w:rPr>
        <w:t xml:space="preserve">Penetapan yang terlalu longgar dapat mengakibatkan jemaah berisiko tinggi tetap diberangkatkan tanpa mitigasi memadai, meningkatkan risiko kegawatan bahkan kematian. Penetapan yang terlalu ketat dapat menghalangi hak beribadah tanpa dasar medis kuat, padahal dengan manajemen risiko tepat banyak kondisi kronik dapat dikendalikan selama masa ibadah.</w:t>
      </w:r>
    </w:p>
    <w:p>
      <w:pPr>
        <w:pStyle w:val="Heading3"/>
        <w:spacing w:after="120" w:before="240"/>
      </w:pPr>
      <w:r>
        <w:rPr>
          <w:rFonts w:ascii="Cambria" w:cs="Cambria" w:eastAsia="Cambria" w:hAnsi="Cambria"/>
          <w:b/>
          <w:bCs/>
          <w:color w:val="123D33"/>
          <w:sz w:val="24"/>
          <w:szCs w:val="24"/>
        </w:rPr>
        <w:t xml:space="preserve">Kategori Kelaikan dan Mekanisme Pemeriksaan Bertahap</w:t>
      </w:r>
    </w:p>
    <w:p>
      <w:pPr>
        <w:spacing w:after="160" w:line="300"/>
        <w:jc w:val="both"/>
      </w:pPr>
      <w:r>
        <w:rPr>
          <w:rFonts w:ascii="Calibri" w:cs="Calibri" w:eastAsia="Calibri" w:hAnsi="Calibri"/>
          <w:i w:val="false"/>
          <w:iCs w:val="false"/>
          <w:color w:val="17251F"/>
          <w:sz w:val="22"/>
          <w:szCs w:val="22"/>
        </w:rPr>
        <w:t xml:space="preserve">Berdasarkan praktik penetapan istithaah kesehatan yang berlaku pada penyelenggaraan haji terkini, jemaah dikelompokkan ke dalam empat kategori: istithaah murni (memenuhi syarat tanpa catatan khusus); istithaah dengan pendampingan (memerlukan pendamping, alat bantu, atau pemantauan rutin kondisi kronik); belum istithaah (kondisi kesehatan saat ini belum memenuhi syarat namun berpotensi membaik melalui penanganan lebih lanjut sebelum keberangkatan); dan tidak istithaah (tidak memenuhi syarat, umumnya bersifat menetap). Bagi jemaah yang dinyatakan tidak istithaah, porsi hajinya dapat dialihkan kepada anggota keluarga sesuai ketentuan yang berlaku, sehingga hak untuk berhaji tidak serta-merta hilang dari keluarga tersebut.</w:t>
      </w:r>
    </w:p>
    <w:p>
      <w:pPr>
        <w:spacing w:after="160" w:line="300"/>
        <w:jc w:val="both"/>
      </w:pPr>
      <w:r>
        <w:rPr>
          <w:rFonts w:ascii="Calibri" w:cs="Calibri" w:eastAsia="Calibri" w:hAnsi="Calibri"/>
          <w:i w:val="false"/>
          <w:iCs w:val="false"/>
          <w:color w:val="17251F"/>
          <w:sz w:val="22"/>
          <w:szCs w:val="22"/>
        </w:rPr>
        <w:t xml:space="preserve">Penetapan dilakukan melalui pemeriksaan kesehatan pra-keberangkatan yang berlapis: pemeriksaan tahap pertama segera setelah calon jemaah memperoleh nomor porsi, mencakup skrining dasar (pemeriksaan darah lengkap, tekanan darah, gula darah, kolesterol, fungsi ginjal, dan rontgen paru); pemeriksaan tahap kedua sekitar tiga hingga enam bulan sebelum keberangkatan, mencakup evaluasi lebih rinci terhadap penyakit kronik seperti diabetes, hipertensi, penyakit jantung, dan gangguan pernapasan; serta pemeriksaan tahap ketiga sekitar satu hingga dua bulan menjelang keberangkatan (termasuk pemeriksaan ulang di asrama haji), yang hasilnya menjadi penentu akhir kelayakan berangkat. Istithaah kesehatan bersifat dinamis dan berkelanjutan: pemantauan tetap berlangsung selama masa tunggu, embarkasi, periode ibadah, hingga debarkasi dan pemulangan.</w:t>
      </w:r>
    </w:p>
    <w:p>
      <w:pPr>
        <w:spacing w:after="160" w:line="300"/>
        <w:jc w:val="both"/>
      </w:pPr>
      <w:r>
        <w:rPr>
          <w:rFonts w:ascii="Calibri" w:cs="Calibri" w:eastAsia="Calibri" w:hAnsi="Calibri"/>
          <w:i w:val="false"/>
          <w:iCs w:val="false"/>
          <w:color w:val="17251F"/>
          <w:sz w:val="22"/>
          <w:szCs w:val="22"/>
        </w:rPr>
        <w:t xml:space="preserve">Perkembangan penting yang perlu dicatat mahasiswa: sejak musim haji 2026, keputusan akhir status istithaah tidak lagi murni bergantung pada penilaian subjektif petugas pemeriksa, melainkan ditetapkan secara sistematis oleh aplikasi sistem informasi kesehatan haji setelah data rekam medis diinput. Petugas kesehatan tetap berperan penting melakukan pemeriksaan klinis dan menginput data secara akurat, namun keputusan akhir kelayakan dihasilkan sistem berdasarkan kriteria yang telah ditetapkan, dengan tujuan mengurangi subjektivitas dan meningkatkan konsistensi antar-pemeriksa. Perlu dicatat pula bahwa otoritas Arab Saudi mulai musim haji 2026 menerapkan aturan lebih ketat, termasuk tidak lagi menerima kedatangan jemaah yang sepenuhnya bergantung pada kursi roda—sebuah perubahan kebijakan yang berdampak langsung pada kategorisasi istithaah bagi jemaah dengan keterbatasan mobilitas berat.</w:t>
      </w:r>
    </w:p>
    <w:tbl>
      <w:tblPr>
        <w:tblW w:type="dxa" w:w="9350"/>
        <w:tblBorders>
          <w:top w:val="single" w:color="E1E9E5" w:sz="4"/>
          <w:left w:val="single" w:color="E1E9E5" w:sz="4"/>
          <w:bottom w:val="single" w:color="E1E9E5" w:sz="4"/>
          <w:right w:val="single" w:color="E1E9E5" w:sz="4"/>
          <w:insideH w:val="none" w:color="FFFFFF" w:sz="0"/>
          <w:insideV w:val="none" w:color="FFFFFF" w:sz="0"/>
        </w:tblBorders>
      </w:tblPr>
      <w:tblGrid>
        <w:gridCol w:w="9350"/>
      </w:tblGrid>
      <w:tr>
        <w:tc>
          <w:tcPr>
            <w:tcW w:type="dxa" w:w="9350"/>
            <w:shd w:fill="E8F2EE" w:color="auto" w:val="clear"/>
            <w:tcMar>
              <w:top w:type="dxa" w:w="160"/>
              <w:left w:type="dxa" w:w="200"/>
              <w:bottom w:type="dxa" w:w="160"/>
              <w:right w:type="dxa" w:w="200"/>
            </w:tcMar>
          </w:tcPr>
          <w:p>
            <w:pPr>
              <w:spacing w:after="80" w:line="280"/>
            </w:pPr>
            <w:r>
              <w:rPr>
                <w:rFonts w:ascii="Calibri" w:cs="Calibri" w:eastAsia="Calibri" w:hAnsi="Calibri"/>
                <w:b/>
                <w:bCs/>
                <w:color w:val="123D33"/>
                <w:sz w:val="21"/>
                <w:szCs w:val="21"/>
              </w:rPr>
              <w:t xml:space="preserve">Empat Kategori Istithaah Kesehatan Haji</w:t>
            </w:r>
          </w:p>
          <w:p>
            <w:pPr>
              <w:spacing w:after="80" w:line="280"/>
            </w:pPr>
            <w:r>
              <w:rPr>
                <w:rFonts w:ascii="Calibri" w:cs="Calibri" w:eastAsia="Calibri" w:hAnsi="Calibri"/>
                <w:b w:val="false"/>
                <w:bCs w:val="false"/>
                <w:color w:val="123D33"/>
                <w:sz w:val="21"/>
                <w:szCs w:val="21"/>
              </w:rPr>
              <w:t xml:space="preserve">1. Istithaah murni — memenuhi syarat tanpa catatan khusus.</w:t>
            </w:r>
          </w:p>
          <w:p>
            <w:pPr>
              <w:spacing w:after="80" w:line="280"/>
            </w:pPr>
            <w:r>
              <w:rPr>
                <w:rFonts w:ascii="Calibri" w:cs="Calibri" w:eastAsia="Calibri" w:hAnsi="Calibri"/>
                <w:b w:val="false"/>
                <w:bCs w:val="false"/>
                <w:color w:val="123D33"/>
                <w:sz w:val="21"/>
                <w:szCs w:val="21"/>
              </w:rPr>
              <w:t xml:space="preserve">2. Istithaah dengan pendampingan — memenuhi syarat dengan syarat/pendamping.</w:t>
            </w:r>
          </w:p>
          <w:p>
            <w:pPr>
              <w:spacing w:after="80" w:line="280"/>
            </w:pPr>
            <w:r>
              <w:rPr>
                <w:rFonts w:ascii="Calibri" w:cs="Calibri" w:eastAsia="Calibri" w:hAnsi="Calibri"/>
                <w:b w:val="false"/>
                <w:bCs w:val="false"/>
                <w:color w:val="123D33"/>
                <w:sz w:val="21"/>
                <w:szCs w:val="21"/>
              </w:rPr>
              <w:t xml:space="preserve">3. Belum istithaah — berpotensi membaik sebelum keberangkatan.</w:t>
            </w:r>
          </w:p>
          <w:p>
            <w:pPr>
              <w:spacing w:after="0" w:line="280"/>
            </w:pPr>
            <w:r>
              <w:rPr>
                <w:rFonts w:ascii="Calibri" w:cs="Calibri" w:eastAsia="Calibri" w:hAnsi="Calibri"/>
                <w:b w:val="false"/>
                <w:bCs w:val="false"/>
                <w:color w:val="123D33"/>
                <w:sz w:val="21"/>
                <w:szCs w:val="21"/>
              </w:rPr>
              <w:t xml:space="preserve">4. Tidak istithaah — tidak memenuhi syarat, umumnya menetap.</w:t>
            </w:r>
          </w:p>
        </w:tc>
      </w:tr>
    </w:tbl>
    <w:p>
      <w:pPr>
        <w:pStyle w:val="Heading3"/>
        <w:spacing w:after="120" w:before="240"/>
      </w:pPr>
      <w:r>
        <w:rPr>
          <w:rFonts w:ascii="Cambria" w:cs="Cambria" w:eastAsia="Cambria" w:hAnsi="Cambria"/>
          <w:b/>
          <w:bCs/>
          <w:color w:val="123D33"/>
          <w:sz w:val="24"/>
          <w:szCs w:val="24"/>
        </w:rPr>
        <w:t xml:space="preserve">Dasar Hukum dan Dimensi Etika Penetapan</w:t>
      </w:r>
    </w:p>
    <w:p>
      <w:pPr>
        <w:spacing w:after="160" w:line="300"/>
        <w:jc w:val="both"/>
      </w:pPr>
      <w:r>
        <w:rPr>
          <w:rFonts w:ascii="Calibri" w:cs="Calibri" w:eastAsia="Calibri" w:hAnsi="Calibri"/>
          <w:i w:val="false"/>
          <w:iCs w:val="false"/>
          <w:color w:val="17251F"/>
          <w:sz w:val="22"/>
          <w:szCs w:val="22"/>
        </w:rPr>
        <w:t xml:space="preserve">Di Indonesia, penetapan istithaah kesehatan memiliki dasar hukum dan regulasi tersendiri yang mengatur kewenangan pemeriksa, kriteria klinis, serta mekanisme banding bagi calon jemaah yang keberatan dengan hasil pemeriksaan. Mahasiswa disarankan selalu merujuk pada regulasi teknis terbaru yang diterbitkan Kemenhaj bersama Kementerian Kesehatan, karena kriteria klinis dan ambang batas pemeriksaan penunjang dapat berubah dari satu musim haji ke musim berikutnya. [DATA: rujuk peraturan teknis Kemenhaj/Kemenkes musim haji berjalan] untuk kriteria klinis rinci dan ambang batas pemeriksaan penunjang yang berlaku pada musim haji terkini.</w:t>
      </w:r>
    </w:p>
    <w:p>
      <w:pPr>
        <w:spacing w:after="160" w:line="300"/>
        <w:jc w:val="both"/>
      </w:pPr>
      <w:r>
        <w:rPr>
          <w:rFonts w:ascii="Calibri" w:cs="Calibri" w:eastAsia="Calibri" w:hAnsi="Calibri"/>
          <w:i w:val="false"/>
          <w:iCs w:val="false"/>
          <w:color w:val="17251F"/>
          <w:sz w:val="22"/>
          <w:szCs w:val="22"/>
        </w:rPr>
        <w:t xml:space="preserve">Di luar aspek klinis-administratif, penetapan istithaah menuntut kepekaan etika: dokter pemeriksa perlu menyeimbangkan otonomi pasien untuk beribadah sebagai bagian keyakinan mendalam dengan prinsip non-maleficence. Komunikasi empatik menjadi kunci, mengingat penolakan atau penundaan keberangkatan membawa dampak psikologis berat bagi calon jemaah yang telah menunggu bertahun-tahun. Dokter pemeriksa yang kompeten akan mengeksplorasi opsi optimasi kondisi kesehatan sebelum keberangkatan, alih-alih semata-mata memutuskan laik atau tidak laik.</w:t>
      </w:r>
    </w:p>
    <w:p>
      <w:pPr>
        <w:pBdr>
          <w:bottom w:val="single" w:color="1F6F5C" w:sz="8" w:space="4"/>
        </w:pBdr>
        <w:spacing w:after="200" w:before="400"/>
      </w:pPr>
      <w:r>
        <w:rPr>
          <w:rFonts w:ascii="Cambria" w:cs="Cambria" w:eastAsia="Cambria" w:hAnsi="Cambria"/>
          <w:b/>
          <w:bCs/>
          <w:color w:val="1F6F5C"/>
          <w:sz w:val="28"/>
          <w:szCs w:val="28"/>
        </w:rPr>
        <w:t xml:space="preserve">D. Ilustrasi Kasus (Vignette)</w:t>
      </w:r>
    </w:p>
    <w:p>
      <w:pPr>
        <w:spacing w:after="160" w:line="300"/>
        <w:jc w:val="both"/>
      </w:pPr>
      <w:r>
        <w:rPr>
          <w:rFonts w:ascii="Calibri" w:cs="Calibri" w:eastAsia="Calibri" w:hAnsi="Calibri"/>
          <w:i w:val="false"/>
          <w:iCs w:val="false"/>
          <w:color w:val="17251F"/>
          <w:sz w:val="22"/>
          <w:szCs w:val="22"/>
        </w:rPr>
        <w:t xml:space="preserve">Seorang calon jemaah berusia 63 tahun dengan diabetes tipe 2 terkontrol dan riwayat operasi katarak menjalani pemeriksaan tahap pertama tiga tahun sebelum estimasi keberangkatan, dinyatakan memenuhi syarat. Dua tahun kemudian pada pemeriksaan tahap kedua, ditemukan gula darahnya kurang terkontrol dan muncul keluhan angina saat aktivitas. Kategorinya berubah menjadi memenuhi syarat dengan pendampingan, dengan catatan perlu stabilisasi gula darah dan evaluasi kardiologi sebelum keberangkatan final.</w:t>
      </w:r>
    </w:p>
    <w:p>
      <w:pPr>
        <w:spacing w:after="160" w:line="300"/>
        <w:jc w:val="both"/>
      </w:pPr>
      <w:r>
        <w:rPr>
          <w:rFonts w:ascii="Calibri" w:cs="Calibri" w:eastAsia="Calibri" w:hAnsi="Calibri"/>
          <w:i w:val="false"/>
          <w:iCs w:val="false"/>
          <w:color w:val="17251F"/>
          <w:sz w:val="22"/>
          <w:szCs w:val="22"/>
        </w:rPr>
        <w:t xml:space="preserve">Diskusikan: mengapa kasus ini menunjukkan bahwa istithaah harus dipandang sebagai proses berkelanjutan, bukan status yang ditetapkan sekali dan selesai? Bagaimana seorang dokter pemeriksa dapat mengomunikasikan perubahan kategori ini kepada jemaah tanpa menimbulkan keputusasaan?</w:t>
      </w:r>
    </w:p>
    <w:p>
      <w:pPr>
        <w:pBdr>
          <w:bottom w:val="single" w:color="1F6F5C" w:sz="8" w:space="4"/>
        </w:pBdr>
        <w:spacing w:after="200" w:before="400"/>
      </w:pPr>
      <w:r>
        <w:rPr>
          <w:rFonts w:ascii="Cambria" w:cs="Cambria" w:eastAsia="Cambria" w:hAnsi="Cambria"/>
          <w:b/>
          <w:bCs/>
          <w:color w:val="1F6F5C"/>
          <w:sz w:val="28"/>
          <w:szCs w:val="28"/>
        </w:rPr>
        <w:t xml:space="preserve">E. Referensi</w:t>
      </w:r>
    </w:p>
    <w:p>
      <w:pPr>
        <w:spacing w:after="140" w:line="280"/>
        <w:ind w:left="360" w:hanging="360"/>
      </w:pPr>
      <w:r>
        <w:rPr>
          <w:rFonts w:ascii="Calibri" w:cs="Calibri" w:eastAsia="Calibri" w:hAnsi="Calibri"/>
          <w:color w:val="17251F"/>
          <w:sz w:val="21"/>
          <w:szCs w:val="21"/>
        </w:rPr>
        <w:t xml:space="preserve">1. </w:t>
      </w:r>
      <w:r>
        <w:rPr>
          <w:rFonts w:ascii="Calibri" w:cs="Calibri" w:eastAsia="Calibri" w:hAnsi="Calibri"/>
          <w:color w:val="17251F"/>
          <w:sz w:val="21"/>
          <w:szCs w:val="21"/>
        </w:rPr>
        <w:t xml:space="preserve">Kementerian Kesehatan Republik Indonesia. Peraturan Menteri Kesehatan Nomor 15 Tahun 2016 tentang Istithaah Kesehatan Jemaah Haji. Jakarta: Kemenkes RI; 2016. Tersedia dari: https://hukor.kemkes.go.id/uploads/produk_hukum/PMK_No._15_ttg_Istithaah_Kesehatan_Jamaah_Haji_.pdf.</w:t>
      </w:r>
    </w:p>
    <w:p>
      <w:pPr>
        <w:spacing w:after="140" w:line="280"/>
        <w:ind w:left="360" w:hanging="360"/>
      </w:pPr>
      <w:r>
        <w:rPr>
          <w:rFonts w:ascii="Calibri" w:cs="Calibri" w:eastAsia="Calibri" w:hAnsi="Calibri"/>
          <w:color w:val="17251F"/>
          <w:sz w:val="21"/>
          <w:szCs w:val="21"/>
        </w:rPr>
        <w:t xml:space="preserve">2. </w:t>
      </w:r>
      <w:r>
        <w:rPr>
          <w:rFonts w:ascii="Calibri" w:cs="Calibri" w:eastAsia="Calibri" w:hAnsi="Calibri"/>
          <w:color w:val="17251F"/>
          <w:sz w:val="21"/>
          <w:szCs w:val="21"/>
        </w:rPr>
        <w:t xml:space="preserve">Kementerian Kesehatan Republik Indonesia. Keputusan Menteri Kesehatan Nomor HK.01.07/MENKES/2118/2023 tentang Standar Teknis Pemeriksaan Kesehatan dan Penetapan Status Istithaah Kesehatan Jemaah Haji. Jakarta: Kemenkes RI; 2023. Tersedia dari: https://haji.kemenag.go.id/v5/storage/strapi-cms-landing-page/cms/KMK_No_HK_01_07_MENKES_2118_2023_ttg_Standar_Teknis_Pemeriksaan_Kesehatan_Penetapan_Status_Istitaah_Ke_685b9d1b93.pdf.</w:t>
      </w:r>
    </w:p>
    <w:p>
      <w:pPr>
        <w:spacing w:after="140" w:line="280"/>
        <w:ind w:left="360" w:hanging="360"/>
      </w:pPr>
      <w:r>
        <w:rPr>
          <w:rFonts w:ascii="Calibri" w:cs="Calibri" w:eastAsia="Calibri" w:hAnsi="Calibri"/>
          <w:color w:val="17251F"/>
          <w:sz w:val="21"/>
          <w:szCs w:val="21"/>
        </w:rPr>
        <w:t xml:space="preserve">3. </w:t>
      </w:r>
      <w:r>
        <w:rPr>
          <w:rFonts w:ascii="Calibri" w:cs="Calibri" w:eastAsia="Calibri" w:hAnsi="Calibri"/>
          <w:color w:val="17251F"/>
          <w:sz w:val="21"/>
          <w:szCs w:val="21"/>
        </w:rPr>
        <w:t xml:space="preserve">Republik Indonesia. Undang-Undang Nomor 14 Tahun 2025 tentang Perubahan Ketiga atas Undang-Undang Nomor 8 Tahun 2019 tentang Penyelenggaraan Ibadah Haji dan Umrah (Lembaran Negara RI Tahun 2025 Nomor 139, Tambahan Lembaran Negara RI Nomor 7132). Jakarta: Sekretariat Negara RI; 2025. Tersedia dari: https://peraturan.bpk.go.id/Download/393571/UU%20Nomor%2014%20Tahun%202025.pdf.</w:t>
      </w:r>
    </w:p>
    <w:sectPr>
      <w:headerReference w:type="default" r:id="rId7"/>
      <w:footerReference w:type="default" r:id="rId8"/>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8"/>
        <w:szCs w:val="18"/>
      </w:rPr>
      <w:t xml:space="preserve"/>
    </w:r>
    <w:r>
      <w:rPr>
        <w:rFonts w:ascii="Calibri" w:cs="Calibri" w:eastAsia="Calibri" w:hAnsi="Calibri"/>
        <w:color w:val="5260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libri" w:cs="Calibri" w:eastAsia="Calibri" w:hAnsi="Calibri"/>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2026-07-16T00:49:13.702Z</dcterms:created>
  <dcterms:modified xsi:type="dcterms:W3CDTF">2026-07-16T00:49:13.702Z</dcterms:modified>
</cp:coreProperties>
</file>

<file path=docProps/custom.xml><?xml version="1.0" encoding="utf-8"?>
<Properties xmlns="http://schemas.openxmlformats.org/officeDocument/2006/custom-properties" xmlns:vt="http://schemas.openxmlformats.org/officeDocument/2006/docPropsVTypes"/>
</file>