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MK08 — Manajemen Bencana Massal &amp; Simulasi Klinis Terintegrasi (Capstone)</w:t>
      </w:r>
    </w:p>
    <w:p>
      <w:pPr>
        <w:pBdr>
          <w:bottom w:val="single" w:color="B6862C" w:sz="12" w:space="6"/>
        </w:pBdr>
        <w:spacing w:after="300"/>
      </w:pPr>
      <w:r>
        <w:rPr>
          <w:rFonts w:ascii="Cambria" w:cs="Cambria" w:eastAsia="Cambria" w:hAnsi="Cambria"/>
          <w:b/>
          <w:bCs/>
          <w:color w:val="123D33"/>
          <w:sz w:val="40"/>
          <w:szCs w:val="40"/>
        </w:rPr>
        <w:t xml:space="preserve">Modul 2: Sistem Komando dan Koordinasi Tanggap Darurat Multi-Negara</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prinsip Incident Command System (ICS) dan modifikasinya untuk konteks multi-negara haji.</w:t>
      </w:r>
    </w:p>
    <w:p>
      <w:pPr>
        <w:pStyle w:val="ListParagraph"/>
        <w:numPr>
          <w:ilvl w:val="0"/>
          <w:numId w:val="1"/>
        </w:numPr>
        <w:spacing w:after="80"/>
      </w:pPr>
      <w:r>
        <w:rPr>
          <w:rFonts w:ascii="Calibri" w:cs="Calibri" w:eastAsia="Calibri" w:hAnsi="Calibri"/>
          <w:color w:val="17251F"/>
          <w:sz w:val="22"/>
          <w:szCs w:val="22"/>
        </w:rPr>
        <w:t xml:space="preserve">Menjelaskan batasan kewenangan TKHI dalam struktur komando insiden yang dipimpin otoritas Arab Saudi.</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Menahan diri dari keinginan mengambil alih koordinasi secara independen saat menghadapi insiden skala besar.</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protokol komunikasi standar untuk mengurangi hambatan bahasa saat kedaruratan multi-negara.</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Dokter kloter yang menghadapi insiden massal untuk pertama kalinya perlu memahami sejak awal bahwa dirinya beroperasi dalam sebuah sistem komando yang lebih besar, bukan bertindak sebagai otoritas independen — kesalahpahaman ini dapat menciptakan kebingungan komando yang fatal di lapangan.</w:t>
      </w:r>
    </w:p>
    <w:p>
      <w:pPr>
        <w:spacing w:after="140" w:line="300"/>
      </w:pPr>
      <w:r>
        <w:rPr>
          <w:rFonts w:ascii="Calibri" w:cs="Calibri" w:eastAsia="Calibri" w:hAnsi="Calibri"/>
          <w:i w:val="false"/>
          <w:iCs w:val="false"/>
          <w:color w:val="17251F"/>
          <w:sz w:val="22"/>
          <w:szCs w:val="22"/>
        </w:rPr>
        <w:t xml:space="preserve">Modul ini penting sebagai lanjutan dari Modul 1, karena memahami tipologi bencana tidak banyak berguna tanpa memahami struktur komando yang akan mengoordinasikan respons terhadapnya.</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Incident Command System (ICS) pada Konteks Haji</w:t>
      </w:r>
    </w:p>
    <w:p>
      <w:pPr>
        <w:spacing w:after="140" w:line="300"/>
      </w:pPr>
      <w:r>
        <w:rPr>
          <w:rFonts w:ascii="Calibri" w:cs="Calibri" w:eastAsia="Calibri" w:hAnsi="Calibri"/>
          <w:i w:val="false"/>
          <w:iCs w:val="false"/>
          <w:color w:val="17251F"/>
          <w:sz w:val="22"/>
          <w:szCs w:val="22"/>
        </w:rPr>
        <w:t xml:space="preserve">Incident Command System (ICS) adalah kerangka standar manajemen kedaruratan yang menetapkan struktur komando yang jelas, pembagian peran fungsional (operasi, logistik, perencanaan, administrasi-keuangan), dan garis komunikasi yang terkoordinasi. Pada konteks haji, ICS perlu dimodifikasi untuk mengakomodasi realitas multi-negara: otoritas Arab Saudi memegang posisi Incident Commander, sementara TKHI Indonesia beroperasi sebagai salah satu unit fungsional dalam struktur tersebut.</w:t>
      </w:r>
    </w:p>
    <w:p>
      <w:pPr>
        <w:spacing w:after="90" w:before="200"/>
      </w:pPr>
      <w:r>
        <w:rPr>
          <w:rFonts w:ascii="Cambria" w:cs="Cambria" w:eastAsia="Cambria" w:hAnsi="Cambria"/>
          <w:b/>
          <w:bCs/>
          <w:color w:val="123D33"/>
          <w:sz w:val="23"/>
          <w:szCs w:val="23"/>
        </w:rPr>
        <w:t xml:space="preserve">2. Peran dan Batasan Kewenangan TKHI</w:t>
      </w:r>
    </w:p>
    <w:p>
      <w:pPr>
        <w:spacing w:after="140" w:line="300"/>
      </w:pPr>
      <w:r>
        <w:rPr>
          <w:rFonts w:ascii="Calibri" w:cs="Calibri" w:eastAsia="Calibri" w:hAnsi="Calibri"/>
          <w:i w:val="false"/>
          <w:iCs w:val="false"/>
          <w:color w:val="17251F"/>
          <w:sz w:val="22"/>
          <w:szCs w:val="22"/>
        </w:rPr>
        <w:t xml:space="preserve">TKHI Indonesia, meski memiliki tanggung jawab utama terhadap jemaah kloter binaannya, beroperasi dalam batasan kewenangan yang harus tunduk pada struktur komando insiden yang dipimpin otoritas Arab Saudi pada peristiwa mass casualty incident (MCI) berskala besar. Pemahaman batasan ini penting agar TKHI dapat berkontribusi efektif tanpa menciptakan kebingungan komando di lapangan — tetap memberikan pertolongan pertama sesuai kompetensinya sambil melapor dan berkoordinasi melalui struktur komando yang berlaku.</w:t>
      </w:r>
    </w:p>
    <w:p>
      <w:pPr>
        <w:spacing w:after="90" w:before="200"/>
      </w:pPr>
      <w:r>
        <w:rPr>
          <w:rFonts w:ascii="Cambria" w:cs="Cambria" w:eastAsia="Cambria" w:hAnsi="Cambria"/>
          <w:b/>
          <w:bCs/>
          <w:color w:val="123D33"/>
          <w:sz w:val="23"/>
          <w:szCs w:val="23"/>
        </w:rPr>
        <w:t xml:space="preserve">3. Interoperabilitas Komunikasi Lintas Bahasa dan Sistem</w:t>
      </w:r>
    </w:p>
    <w:p>
      <w:pPr>
        <w:spacing w:after="140" w:line="300"/>
      </w:pPr>
      <w:r>
        <w:rPr>
          <w:rFonts w:ascii="Calibri" w:cs="Calibri" w:eastAsia="Calibri" w:hAnsi="Calibri"/>
          <w:i w:val="false"/>
          <w:iCs w:val="false"/>
          <w:color w:val="17251F"/>
          <w:sz w:val="22"/>
          <w:szCs w:val="22"/>
        </w:rPr>
        <w:t xml:space="preserve">Koordinasi tanggap darurat multi-negara menghadapi tantangan komunikasi lintas bahasa antar-tenaga kesehatan dari berbagai negara pengirim, serta interoperabilitas sistem komunikasi radio/digital yang mungkin berbeda antar-negara. Protokol komunikasi standar — misalnya penggunaan kode dan istilah standar internasional untuk triase dan status korban — dapat membantu mengurangi hambatan komunikasi dalam situasi kedaruratan yang menuntut kecepatan respons.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Fungsi ICS</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Peran TKHI dalam Struktur</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Batasan Kewenangan</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Operasi medis lapangan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Pertolongan pertama pada jemaah kloter binaan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Tunduk pada arahan komando insiden untuk area luas</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Logistik</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Melaporkan kebutuhan logistik kloter</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Tidak mengambil alih distribusi logistik lintas-kloter</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Komunikasi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Melapor status korban via jalur resmi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Menggunakan protokol/istilah standar yang disepakati</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Prinsip Disiplin Komando: keseimbangan antara inisiatif memberi pertolongan pertama dan disiplin mengikuti struktur komando yang berlaku adalah kompetensi yang harus dilatih sejak masa pendidikan, bukan diputuskan mendadak saat insiden nyata terjadi.</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dokter kloter yang menemukan jemaah kloternya menjadi korban insiden massal berskala besar tergoda untuk langsung mengambil alih koordinasi evakuasi secara independen. Mengingat pemahaman batasan kewenangan dari modul ini, ia tetap memberikan pertolongan pertama sesuai kompetensinya, sambil segera melapor dan berkoordinasi melalui struktur komando yang berlaku — keseimbangan yang mencegah kebingungan komando di tengah situasi yang sudah kacau.</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Federal Emergency Management Agency. National Incident Management System (NIMS): Incident Command System. Washington, DC: FEMA. Tersedia di: https://www.fema.gov/emergency-managers/nims</w:t>
      </w:r>
    </w:p>
    <w:p>
      <w:pPr>
        <w:spacing w:after="100"/>
        <w:ind w:left="360" w:hanging="360"/>
      </w:pPr>
      <w:r>
        <w:rPr>
          <w:rFonts w:ascii="Calibri" w:cs="Calibri" w:eastAsia="Calibri" w:hAnsi="Calibri"/>
          <w:color w:val="17251F"/>
          <w:sz w:val="20"/>
          <w:szCs w:val="20"/>
        </w:rPr>
        <w:t xml:space="preserve">2. Khan MA, Noji EK. Hajj stampede disaster, 2015: reflections from the frontlines. Am J Disaster Med. 2016;11(1):59-68. doi:10.5055/ajdm.2016.0225. Tersedia di: https://wmpllc.org/ojs/index.php/ajdm/article/view/345</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MK08 · Modul 2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2026-07-15T19:33:07.061Z</dcterms:created>
  <dcterms:modified xsi:type="dcterms:W3CDTF">2026-07-15T19:33:07.061Z</dcterms:modified>
</cp:coreProperties>
</file>

<file path=docProps/custom.xml><?xml version="1.0" encoding="utf-8"?>
<Properties xmlns="http://schemas.openxmlformats.org/officeDocument/2006/custom-properties" xmlns:vt="http://schemas.openxmlformats.org/officeDocument/2006/docPropsVTypes"/>
</file>