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3: Interaksi Obat pada Pasien Polifarmasi Lanjut Usia</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skala masalah polifarmasi pada jemaah haji lanjut usia dan faktor yang memperbesar risikonya.</w:t>
      </w:r>
    </w:p>
    <w:p>
      <w:pPr>
        <w:pStyle w:val="ListBullet"/>
        <w:spacing w:after="80"/>
      </w:pPr>
      <w:r>
        <w:rPr>
          <w:rFonts w:ascii="Calibri" w:hAnsi="Calibri" w:eastAsia="Calibri" w:cs="Calibri"/>
          <w:b w:val="0"/>
          <w:i w:val="0"/>
          <w:color w:val="17251F"/>
          <w:sz w:val="22"/>
        </w:rPr>
        <w:t>Menguraikan kategori interaksi obat yang paling sering ditemukan di lapangan haji.</w:t>
      </w:r>
    </w:p>
    <w:p>
      <w:pPr>
        <w:pStyle w:val="ListBullet"/>
        <w:spacing w:after="80"/>
      </w:pPr>
      <w:r>
        <w:rPr>
          <w:rFonts w:ascii="Calibri" w:hAnsi="Calibri" w:eastAsia="Calibri" w:cs="Calibri"/>
          <w:b w:val="0"/>
          <w:i w:val="0"/>
          <w:color w:val="17251F"/>
          <w:sz w:val="22"/>
        </w:rPr>
        <w:t>Menjelaskan prinsip dan pentingnya rekonsiliasi obat sejak embarkasi.</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kedisiplinan meninjau daftar obat rutin sebelum menambahkan resep baru, tanpa terkecuali.</w:t>
      </w:r>
    </w:p>
    <w:p>
      <w:pPr>
        <w:pStyle w:val="ListBullet"/>
        <w:spacing w:after="80"/>
      </w:pPr>
      <w:r>
        <w:rPr>
          <w:rFonts w:ascii="Calibri" w:hAnsi="Calibri" w:eastAsia="Calibri" w:cs="Calibri"/>
          <w:b w:val="0"/>
          <w:i w:val="0"/>
          <w:color w:val="17251F"/>
          <w:sz w:val="22"/>
        </w:rPr>
        <w:t>Menghargai pendekatan tidak menghakimi saat menggali informasi konsumsi jamu/suplemen jemaah.</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algoritma skrining interaksi obat sebelum meresepkan obat baru.</w:t>
      </w:r>
    </w:p>
    <w:p>
      <w:pPr>
        <w:pStyle w:val="ListBullet"/>
        <w:spacing w:after="80"/>
      </w:pPr>
      <w:r>
        <w:rPr>
          <w:rFonts w:ascii="Calibri" w:hAnsi="Calibri" w:eastAsia="Calibri" w:cs="Calibri"/>
          <w:b w:val="0"/>
          <w:i w:val="0"/>
          <w:color w:val="17251F"/>
          <w:sz w:val="22"/>
        </w:rPr>
        <w:t>Mempraktikkan teknik bertanya terbuka untuk menggali riwayat konsumsi jamu/suplemen jemaah.</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Polifarmasi bukan sekadar angka jumlah obat — ia adalah faktor risiko tersendiri yang berlipat ganda saat digabung dengan stresor fisiologis perjalanan haji yang telah dibahas pada Modul 1–2. Modul ini penting karena interaksi yang paling berbahaya sering bukan berasal dari obat kronik itu sendiri, melainkan dari obat baru yang ditambahkan secara reflektif di lapangan tanpa mengecek daftar obat yang sudah ada — kebiasaan kecil yang dapat dicegah sepenuhnya dengan satu langkah verifikasi sederhana.</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Skala Masalah Polifarmasi pada Jemaah Haji</w:t>
      </w:r>
    </w:p>
    <w:p>
      <w:pPr>
        <w:spacing w:after="160" w:line="276" w:lineRule="auto"/>
      </w:pPr>
      <w:r>
        <w:rPr>
          <w:rFonts w:ascii="Calibri" w:hAnsi="Calibri" w:eastAsia="Calibri" w:cs="Calibri"/>
          <w:b w:val="0"/>
          <w:i w:val="0"/>
          <w:color w:val="17251F"/>
          <w:sz w:val="22"/>
        </w:rPr>
        <w:t>Mayoritas jemaah lanjut usia Indonesia yang berangkat haji mengonsumsi lebih dari satu obat kronik secara bersamaan, dan tidak jarang lebih dari lima jenis obat (polifarmasi signifikan). Kondisi ini meningkatkan risiko interaksi obat-obat dan obat-kondisi yang dapat memicu efek samping serius, terutama saat dikombinasikan dengan stresor fisiologis perjalanan haji (dehidrasi, suhu ekstrem, aktivitas fisik tinggi — lihat Modul 1–2).</w:t>
      </w:r>
    </w:p>
    <w:p>
      <w:pPr>
        <w:spacing w:before="200" w:after="80"/>
      </w:pPr>
      <w:r>
        <w:rPr>
          <w:rFonts w:ascii="Cambria" w:hAnsi="Cambria" w:eastAsia="Cambria" w:cs="Cambria"/>
          <w:b/>
          <w:i w:val="0"/>
          <w:color w:val="123D33"/>
          <w:sz w:val="24"/>
        </w:rPr>
        <w:t>C.2 Kategori Interaksi yang Paling Sering Ditemukan</w:t>
      </w:r>
    </w:p>
    <w:tbl>
      <w:tblPr>
        <w:tblW w:type="auto" w:w="0"/>
        <w:jc w:val="center"/>
        <w:tblLayout w:type="fixed"/>
        <w:tblLook w:firstColumn="1" w:firstRow="1" w:lastColumn="0" w:lastRow="0" w:noHBand="0" w:noVBand="1" w:val="04A0"/>
      </w:tblPr>
      <w:tblGrid>
        <w:gridCol w:w="3024"/>
        <w:gridCol w:w="3024"/>
        <w:gridCol w:w="3024"/>
      </w:tblGrid>
      <w:tr>
        <w:tc>
          <w:tcPr>
            <w:tcW w:type="dxa" w:w="311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Kombinasi Golongan</w:t>
            </w:r>
          </w:p>
        </w:tc>
        <w:tc>
          <w:tcPr>
            <w:tcW w:type="dxa" w:w="340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Risiko Potensial</w:t>
            </w:r>
          </w:p>
        </w:tc>
        <w:tc>
          <w:tcPr>
            <w:tcW w:type="dxa" w:w="283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Tindakan Kewaspadaan</w:t>
            </w:r>
          </w:p>
        </w:tc>
      </w:tr>
      <w:tr>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Antihipertensi ganda + dehidrasi</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Hipotensi aditif</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Pantau tekanan darah lebih sering</w:t>
            </w:r>
          </w:p>
        </w:tc>
      </w:tr>
      <w:tr>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Antidiabetes + obat lapangan yang memengaruhi gula darah</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Hipo/hiperglikemia</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Pantau gula darah, edukasi tanda bahaya</w:t>
            </w:r>
          </w:p>
        </w:tc>
      </w:tr>
      <w:tr>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Antikoagulan/antiplatelet + NSAID lapangan</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Risiko perdarahan meningkat</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Pilih analgesik alternatif sesuai protokol resmi</w:t>
            </w:r>
          </w:p>
        </w:tc>
      </w:tr>
      <w:tr>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Obat dengan efek sedasi ganda</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Risiko jatuh/penurunan kesadaran</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Batasi kombinasi, pantau status mental</w:t>
            </w:r>
          </w:p>
        </w:tc>
      </w:tr>
    </w:tbl>
    <w:p>
      <w:pPr>
        <w:spacing w:after="80"/>
      </w:pPr>
    </w:p>
    <w:p>
      <w:pPr>
        <w:spacing w:after="160" w:line="276" w:lineRule="auto"/>
      </w:pPr>
      <w:r>
        <w:rPr>
          <w:rFonts w:ascii="Calibri" w:hAnsi="Calibri" w:eastAsia="Calibri" w:cs="Calibri"/>
          <w:b w:val="0"/>
          <w:i/>
          <w:color w:val="17251F"/>
          <w:sz w:val="22"/>
        </w:rPr>
        <w:t>Detail interaksi spesifik dan alternatif obat mengikuti [PROTOKOL: rujuk pedoman/basis data interaksi obat resmi yang berlaku].</w:t>
      </w:r>
    </w:p>
    <w:p>
      <w:pPr>
        <w:spacing w:before="200" w:after="80"/>
      </w:pPr>
      <w:r>
        <w:rPr>
          <w:rFonts w:ascii="Cambria" w:hAnsi="Cambria" w:eastAsia="Cambria" w:cs="Cambria"/>
          <w:b/>
          <w:i w:val="0"/>
          <w:color w:val="123D33"/>
          <w:sz w:val="24"/>
        </w:rPr>
        <w:t>C.3 Algoritma Skrining Interaksi Sebelum Meresepkan Obat Baru</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w:t>
            </w:r>
          </w:p>
          <w:p>
            <w:r>
              <w:rPr>
                <w:rFonts w:ascii="Calibri" w:hAnsi="Calibri" w:eastAsia="Calibri" w:cs="Calibri"/>
                <w:b w:val="0"/>
                <w:i w:val="0"/>
                <w:color w:val="17251F"/>
                <w:sz w:val="21"/>
              </w:rPr>
              <w:t>1) Tinjau daftar obat rutin jemaah dari manifest risiko kloter/rekam kesehatan sebelum menambahkan obat baru → 2) Identifikasi golongan obat baru yang akan diberikan dan pertimbangkan potensi interaksi dengan obat rutin yang tercatat → 3) Bila ditemukan potensi interaksi bermakna, pertimbangkan alternatif obat dengan profil interaksi lebih aman [PROTOKOL: rujuk pedoman resmi/referensi interaksi obat resmi] → 4) Bila obat tetap diperlukan meski ada potensi interaksi, tingkatkan frekuensi pemantauan efek samping → 5) Dokumentasikan obat baru yang diberikan dan alasan klinisnya pada rekam kesehatan.</w:t>
            </w:r>
          </w:p>
        </w:tc>
      </w:tr>
    </w:tbl>
    <w:p>
      <w:pPr>
        <w:spacing w:after="80"/>
      </w:pPr>
    </w:p>
    <w:p>
      <w:pPr>
        <w:spacing w:before="200" w:after="80"/>
      </w:pPr>
      <w:r>
        <w:rPr>
          <w:rFonts w:ascii="Cambria" w:hAnsi="Cambria" w:eastAsia="Cambria" w:cs="Cambria"/>
          <w:b/>
          <w:i w:val="0"/>
          <w:color w:val="123D33"/>
          <w:sz w:val="24"/>
        </w:rPr>
        <w:t>C.4 Peran Rekonsiliasi Obat</w:t>
      </w:r>
    </w:p>
    <w:p>
      <w:pPr>
        <w:spacing w:after="160" w:line="276" w:lineRule="auto"/>
      </w:pPr>
      <w:r>
        <w:rPr>
          <w:rFonts w:ascii="Calibri" w:hAnsi="Calibri" w:eastAsia="Calibri" w:cs="Calibri"/>
          <w:b w:val="0"/>
          <w:i w:val="0"/>
          <w:color w:val="17251F"/>
          <w:sz w:val="22"/>
        </w:rPr>
        <w:t>Rekonsiliasi obat — proses membandingkan seluruh obat yang sedang dikonsumsi jemaah dengan yang tercatat resmi — idealnya dilakukan sejak embarkasi (lihat MK02 Modul 2) dan diperbarui setiap kali ada penambahan obat lapangan. Proses ini mencegah duplikasi obat dari golongan yang sama akibat jemaah membawa obat dari beberapa sumber (resep dokter pribadi, obat dari keluarga, obat yang dibeli bebas).</w:t>
      </w:r>
    </w:p>
    <w:p>
      <w:pPr>
        <w:spacing w:before="200" w:after="80"/>
      </w:pPr>
      <w:r>
        <w:rPr>
          <w:rFonts w:ascii="Cambria" w:hAnsi="Cambria" w:eastAsia="Cambria" w:cs="Cambria"/>
          <w:b/>
          <w:i w:val="0"/>
          <w:color w:val="123D33"/>
          <w:sz w:val="24"/>
        </w:rPr>
        <w:t>C.5 Melibatkan Jemaah dalam Proses Rekonsiliasi</w:t>
      </w:r>
    </w:p>
    <w:p>
      <w:pPr>
        <w:spacing w:after="160" w:line="276" w:lineRule="auto"/>
      </w:pPr>
      <w:r>
        <w:rPr>
          <w:rFonts w:ascii="Calibri" w:hAnsi="Calibri" w:eastAsia="Calibri" w:cs="Calibri"/>
          <w:b w:val="0"/>
          <w:i w:val="0"/>
          <w:color w:val="17251F"/>
          <w:sz w:val="22"/>
        </w:rPr>
        <w:t>Jemaah tidak selalu secara sukarela menyampaikan seluruh obat yang mereka konsumsi, terutama suplemen atau obat herbal yang mereka anggap “bukan obat sungguhan”. Dokter kloter perlu secara eksplisit menanyakan seluruh jenis konsumsi termasuk suplemen, jamu, atau obat herbal saat melakukan rekonsiliasi. Pertanyaan terbuka seperti “Selain obat dari dokter, apakah Bapak/Ibu mengonsumsi jamu, suplemen, atau obat lain?” cenderung menggali informasi lebih lengkap dibandingkan pertanyaan tertutup. Pendekatan yang tidak menghakimi penting di sini — jemaah yang merasa akan “dimarahi” karena mengonsumsi jamu tertentu cenderung menyembunyikan informasi tersebut, padahal informasi itu justru yang paling penting untuk keamanan mereka sendiri.</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jemaah lansia dengan lima jenis obat rutin datang mengeluh nyeri sendi ringan. Alih-alih langsung memberikan analgesik golongan tertentu yang bisa berinteraksi dengan obat antikoagulan yang sedang dikonsumsinya, dokter kloter mengecek dahulu manifest risikonya dan memilih alternatif yang lebih aman — langkah kecil yang mencegah komplikasi besar. Saat menanyakan riwayat pengobatan lebih dalam dengan pertanyaan terbuka mengenai jamu dan suplemen, jemaah tersebut juga baru mengungkapkan bahwa ia rutin mengonsumsi jamu tertentu untuk “menjaga stamina” — informasi yang penting untuk dinilai potensi interaksinya dengan obat antikoagulan yang juga dikonsumsinya.</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"pedoman BPOM spesifik tentang interaksi obat dan obat herbal — AI tidak menemukan dokumen dengan judul ini"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(B3) — Bab 3.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