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MK05 — Manajemen Komorbid pada Jemaah Lanjut Usia</w:t>
      </w:r>
    </w:p>
    <w:p>
      <w:pPr>
        <w:pBdr>
          <w:bottom w:val="single" w:color="B6862C" w:sz="12" w:space="6"/>
        </w:pBdr>
        <w:spacing w:after="300"/>
      </w:pPr>
      <w:r>
        <w:rPr>
          <w:rFonts w:ascii="Cambria" w:cs="Cambria" w:eastAsia="Cambria" w:hAnsi="Cambria"/>
          <w:b/>
          <w:bCs/>
          <w:color w:val="123D33"/>
          <w:sz w:val="40"/>
          <w:szCs w:val="40"/>
        </w:rPr>
        <w:t xml:space="preserve">Modul 3: Manajemen Diabetes Melitus: Risiko Hipo/Hiperglikemia Selama Ibadah</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kompleksitas manajemen diabetes di lapangan haji dibandingkan pengelolaan rutin di rumah.</w:t>
      </w:r>
    </w:p>
    <w:p>
      <w:pPr>
        <w:pStyle w:val="ListParagraph"/>
        <w:numPr>
          <w:ilvl w:val="0"/>
          <w:numId w:val="1"/>
        </w:numPr>
        <w:spacing w:after="80"/>
      </w:pPr>
      <w:r>
        <w:rPr>
          <w:rFonts w:ascii="Calibri" w:cs="Calibri" w:eastAsia="Calibri" w:hAnsi="Calibri"/>
          <w:color w:val="17251F"/>
          <w:sz w:val="22"/>
          <w:szCs w:val="22"/>
        </w:rPr>
        <w:t xml:space="preserve">Menjelaskan konsep hypoglycemia unawareness pada populasi diabetes lansia dan implikasinya.</w:t>
      </w:r>
    </w:p>
    <w:p>
      <w:pPr>
        <w:pStyle w:val="ListParagraph"/>
        <w:numPr>
          <w:ilvl w:val="0"/>
          <w:numId w:val="1"/>
        </w:numPr>
        <w:spacing w:after="80"/>
      </w:pPr>
      <w:r>
        <w:rPr>
          <w:rFonts w:ascii="Calibri" w:cs="Calibri" w:eastAsia="Calibri" w:hAnsi="Calibri"/>
          <w:color w:val="17251F"/>
          <w:sz w:val="22"/>
          <w:szCs w:val="22"/>
        </w:rPr>
        <w:t xml:space="preserve">Menjelaskan rasional penyesuaian target glikemik selama musim haji.</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Menunjukkan kewaspadaan khusus terhadap jemaah diabetes lansia berisiko hipoglikemia tanpa gejala peringatan dini.</w:t>
      </w:r>
    </w:p>
    <w:p>
      <w:pPr>
        <w:pStyle w:val="ListParagraph"/>
        <w:numPr>
          <w:ilvl w:val="0"/>
          <w:numId w:val="1"/>
        </w:numPr>
        <w:spacing w:after="80"/>
      </w:pPr>
      <w:r>
        <w:rPr>
          <w:rFonts w:ascii="Calibri" w:cs="Calibri" w:eastAsia="Calibri" w:hAnsi="Calibri"/>
          <w:color w:val="17251F"/>
          <w:sz w:val="22"/>
          <w:szCs w:val="22"/>
        </w:rPr>
        <w:t xml:space="preserve">Berkomunikasi secara jujur kepada jemaah agar penyesuaian target glikemik tidak disalahartikan sebagai kegagalan pengelolaan diabetes.</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algoritma pemantauan glikemik terjadwal selama fase ibadah intensif.</w:t>
      </w:r>
    </w:p>
    <w:p>
      <w:pPr>
        <w:pStyle w:val="ListParagraph"/>
        <w:numPr>
          <w:ilvl w:val="0"/>
          <w:numId w:val="1"/>
        </w:numPr>
        <w:spacing w:after="80"/>
      </w:pPr>
      <w:r>
        <w:rPr>
          <w:rFonts w:ascii="Calibri" w:cs="Calibri" w:eastAsia="Calibri" w:hAnsi="Calibri"/>
          <w:color w:val="17251F"/>
          <w:sz w:val="22"/>
          <w:szCs w:val="22"/>
        </w:rPr>
        <w:t xml:space="preserve">Mendemonstrasikan edukasi kepada jemaah dan pendamping mengenai gejala hipo/hiperglikemia.</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Perubahan pola makan, aktivitas, tidur, dan stres yang terjadi bersamaan membuat pengelolaan diabetes di lapangan haji jauh lebih menantang dibandingkan rutinitas biasa di rumah, sehingga memerlukan pendekatan yang berbeda dari sekadar melanjutkan regimen lama tanpa penyesuaian.</w:t>
      </w:r>
    </w:p>
    <w:p>
      <w:pPr>
        <w:spacing w:after="140" w:line="300"/>
      </w:pPr>
      <w:r>
        <w:rPr>
          <w:rFonts w:ascii="Calibri" w:cs="Calibri" w:eastAsia="Calibri" w:hAnsi="Calibri"/>
          <w:i w:val="false"/>
          <w:iCs w:val="false"/>
          <w:color w:val="17251F"/>
          <w:sz w:val="22"/>
          <w:szCs w:val="22"/>
        </w:rPr>
        <w:t xml:space="preserve">Modul ini penting karena diabetes adalah komorbid kedua paling umum pada jemaah (Modul 1), dan kegagalan mengenali hipoglikemia — terutama pada lansia dengan hypoglycemia unawareness — dapat berujung pada kondisi berat tanpa tanda peringatan yang jelas.</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Kompleksitas Manajemen Diabetes di Lapangan Haji</w:t>
      </w:r>
    </w:p>
    <w:p>
      <w:pPr>
        <w:spacing w:after="140" w:line="300"/>
      </w:pPr>
      <w:r>
        <w:rPr>
          <w:rFonts w:ascii="Calibri" w:cs="Calibri" w:eastAsia="Calibri" w:hAnsi="Calibri"/>
          <w:i w:val="false"/>
          <w:iCs w:val="false"/>
          <w:color w:val="17251F"/>
          <w:sz w:val="22"/>
          <w:szCs w:val="22"/>
        </w:rPr>
        <w:t xml:space="preserve">Manajemen diabetes selama ibadah haji jauh lebih kompleks dibandingkan manajemen rutin di rumah karena perubahan simultan pada pola makan, aktivitas fisik, jadwal tidur, dan tingkat stres — seluruh faktor yang memengaruhi kontrol glikemik secara bersamaan.</w:t>
      </w:r>
    </w:p>
    <w:p>
      <w:pPr>
        <w:spacing w:after="90" w:before="200"/>
      </w:pPr>
      <w:r>
        <w:rPr>
          <w:rFonts w:ascii="Cambria" w:cs="Cambria" w:eastAsia="Cambria" w:hAnsi="Cambria"/>
          <w:b/>
          <w:bCs/>
          <w:color w:val="123D33"/>
          <w:sz w:val="23"/>
          <w:szCs w:val="23"/>
        </w:rPr>
        <w:t xml:space="preserve">2. Algoritma Pemantauan Glikemik Terjadwal</w:t>
      </w:r>
    </w:p>
    <w:p>
      <w:pPr>
        <w:pStyle w:val="ListParagraph"/>
        <w:numPr>
          <w:ilvl w:val="0"/>
          <w:numId w:val="1"/>
        </w:numPr>
        <w:spacing w:after="80"/>
      </w:pPr>
      <w:r>
        <w:rPr>
          <w:rFonts w:ascii="Calibri" w:cs="Calibri" w:eastAsia="Calibri" w:hAnsi="Calibri"/>
          <w:color w:val="17251F"/>
          <w:sz w:val="22"/>
          <w:szCs w:val="22"/>
        </w:rPr>
        <w:t xml:space="preserve">Identifikasi jemaah diabetes dan tentukan jadwal pemantauan gula darah kapiler yang disesuaikan pola aktivitas (lebih sering pada hari aktivitas fisik berat).</w:t>
      </w:r>
    </w:p>
    <w:p>
      <w:pPr>
        <w:pStyle w:val="ListParagraph"/>
        <w:numPr>
          <w:ilvl w:val="0"/>
          <w:numId w:val="1"/>
        </w:numPr>
        <w:spacing w:after="80"/>
      </w:pPr>
      <w:r>
        <w:rPr>
          <w:rFonts w:ascii="Calibri" w:cs="Calibri" w:eastAsia="Calibri" w:hAnsi="Calibri"/>
          <w:color w:val="17251F"/>
          <w:sz w:val="22"/>
          <w:szCs w:val="22"/>
        </w:rPr>
        <w:t xml:space="preserve">Edukasi jemaah/pendamping mengenai pengenalan gejala hipoglikemia dan hiperglikemia sebelum aktivitas berat dimulai.</w:t>
      </w:r>
    </w:p>
    <w:p>
      <w:pPr>
        <w:pStyle w:val="ListParagraph"/>
        <w:numPr>
          <w:ilvl w:val="0"/>
          <w:numId w:val="1"/>
        </w:numPr>
        <w:spacing w:after="80"/>
      </w:pPr>
      <w:r>
        <w:rPr>
          <w:rFonts w:ascii="Calibri" w:cs="Calibri" w:eastAsia="Calibri" w:hAnsi="Calibri"/>
          <w:color w:val="17251F"/>
          <w:sz w:val="22"/>
          <w:szCs w:val="22"/>
        </w:rPr>
        <w:t xml:space="preserve">Pastikan jemaah membawa sumber gula cepat saji dan obat/insulin setiap kali beraktivitas di luar pemondokan.</w:t>
      </w:r>
    </w:p>
    <w:p>
      <w:pPr>
        <w:pStyle w:val="ListParagraph"/>
        <w:numPr>
          <w:ilvl w:val="0"/>
          <w:numId w:val="1"/>
        </w:numPr>
        <w:spacing w:after="80"/>
      </w:pPr>
      <w:r>
        <w:rPr>
          <w:rFonts w:ascii="Calibri" w:cs="Calibri" w:eastAsia="Calibri" w:hAnsi="Calibri"/>
          <w:color w:val="17251F"/>
          <w:sz w:val="22"/>
          <w:szCs w:val="22"/>
        </w:rPr>
        <w:t xml:space="preserve">Gula darah di luar target yang disepakati → evaluasi pola makan dan aktivitas terkini sebelum menyesuaikan terapi.</w:t>
      </w:r>
    </w:p>
    <w:p>
      <w:pPr>
        <w:pStyle w:val="ListParagraph"/>
        <w:numPr>
          <w:ilvl w:val="0"/>
          <w:numId w:val="1"/>
        </w:numPr>
        <w:spacing w:after="80"/>
      </w:pPr>
      <w:r>
        <w:rPr>
          <w:rFonts w:ascii="Calibri" w:cs="Calibri" w:eastAsia="Calibri" w:hAnsi="Calibri"/>
          <w:color w:val="17251F"/>
          <w:sz w:val="22"/>
          <w:szCs w:val="22"/>
        </w:rPr>
        <w:t xml:space="preserve">Dokumentasikan tren gula darah dan korelasikan dengan pola aktivitas untuk penyesuaian rencana individual.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Faktor</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Dampak pada Gula Darah</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Strategi Mitigasi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Aktivitas fisik tinggi mendadak</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Risiko hipoglikemia meningkat</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Camilan/gula cepat saji sebelum aktivitas berat</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Perubahan jadwal dan jenis makan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Fluktuasi tidak terduga</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Edukasi pengaturan porsi dan waktu makan</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Dehidrasi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Risiko hiperglikemia, perburukan fungsi ginjal</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Edukasi hidrasi terjadwal</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Stres fisik/kelelahan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Cenderung meningkatkan gula darah</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Jadwalkan istirahat cukup</w:t>
            </w:r>
          </w:p>
        </w:tc>
      </w:tr>
    </w:tbl>
    <w:p>
      <w:pPr>
        <w:spacing w:after="90" w:before="200"/>
      </w:pPr>
      <w:r>
        <w:rPr>
          <w:rFonts w:ascii="Cambria" w:cs="Cambria" w:eastAsia="Cambria" w:hAnsi="Cambria"/>
          <w:b/>
          <w:bCs/>
          <w:color w:val="123D33"/>
          <w:sz w:val="23"/>
          <w:szCs w:val="23"/>
        </w:rPr>
        <w:t xml:space="preserve">3. Hypoglycemia Unawareness pada Diabetes Lansia</w:t>
      </w:r>
    </w:p>
    <w:p>
      <w:pPr>
        <w:spacing w:after="140" w:line="300"/>
      </w:pPr>
      <w:r>
        <w:rPr>
          <w:rFonts w:ascii="Calibri" w:cs="Calibri" w:eastAsia="Calibri" w:hAnsi="Calibri"/>
          <w:i w:val="false"/>
          <w:iCs w:val="false"/>
          <w:color w:val="17251F"/>
          <w:sz w:val="22"/>
          <w:szCs w:val="22"/>
        </w:rPr>
        <w:t xml:space="preserve">Sebagian jemaah diabetes lansia, terutama dengan durasi penyakit panjang, dapat kehilangan kemampuan mengenali gejala peringatan dini hipoglikemia, sehingga langsung jatuh ke kondisi berat tanpa tanda yang jelas. Dokter kloter perlu mengidentifikasi kelompok ini dari riwayat penyakit dan menetapkan target glikemik yang lebih longgar serta pemantauan lebih ketat. [PROTOKOL: rujuk pedoman resmi manajemen hipoglikemia unawareness pada lansia]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Perhatian: keterlibatan pendamping/keluarga dalam mengenali tanda dini hipo/hiperglikemia menjadi komponen penting, khususnya bagi jemaah dengan hipoglikemia unawareness yang tidak dapat mengandalkan gejala peringatan dirinya sendiri.</w:t>
            </w:r>
          </w:p>
        </w:tc>
      </w:tr>
    </w:tbl>
    <w:p>
      <w:pPr>
        <w:spacing w:after="90" w:before="200"/>
      </w:pPr>
      <w:r>
        <w:rPr>
          <w:rFonts w:ascii="Cambria" w:cs="Cambria" w:eastAsia="Cambria" w:hAnsi="Cambria"/>
          <w:b/>
          <w:bCs/>
          <w:color w:val="123D33"/>
          <w:sz w:val="23"/>
          <w:szCs w:val="23"/>
        </w:rPr>
        <w:t xml:space="preserve">4. Penyesuaian Target Glikemik Selama Ibadah Haji</w:t>
      </w:r>
    </w:p>
    <w:p>
      <w:pPr>
        <w:spacing w:after="140" w:line="300"/>
      </w:pPr>
      <w:r>
        <w:rPr>
          <w:rFonts w:ascii="Calibri" w:cs="Calibri" w:eastAsia="Calibri" w:hAnsi="Calibri"/>
          <w:i w:val="false"/>
          <w:iCs w:val="false"/>
          <w:color w:val="17251F"/>
          <w:sz w:val="22"/>
          <w:szCs w:val="22"/>
        </w:rPr>
        <w:t xml:space="preserve">Berbeda dari target glikemik ketat yang dianjurkan dalam pengelolaan jangka panjang, konteks ibadah haji dengan aktivitas fisik tinggi dan risiko hipoglikemia meningkat membuat target yang sedikit lebih longgar menjadi pertimbangan yang masuk akal untuk sementara, khususnya pada lansia dan mereka dengan hipoglikemia unawareness — sejalan dengan prinsip umum manajemen diabetes pada periode stres fisiologis tinggi, di mana keamanan jangka pendek diprioritaskan di atas kontrol ketat jangka panjang. [PROTOKOL: rujuk pedoman resmi target glikemik pada kondisi khusus/stres fisiologis]. Dokter kloter perlu mengomunikasikan penyesuaian ini dengan jelas agar jemaah tidak salah paham bahwa gula darah sedikit lebih tinggi adalah tanda kegagalan pengelolaan diabetes.</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jemaah dengan riwayat diabetes lebih dari 20 tahun tiba-tiba ditemukan bingung berat tanpa sempat mengeluh gejala peringatan seperti berkeringat atau gemetar. Setelah diketahui riwayat hipoglikemia berulang tanpa gejala di masa lalu, dokter kloter menetapkan pemantauan gula darah lebih ketat dan target yang lebih longgar untuknya dibandingkan jemaah diabetes lain. Pada kasus lain, seorang jemaah yang biasa menargetkan gula darah sangat ketat di rumah diberi penjelasan bahwa target sedikit lebih longgar selama musim haji lebih aman mengingat risiko hipoglikemia akibat aktivitas fisik tinggi — penjelasan yang mengurangi kecemasannya saat melihat angka gula darah sedikit lebih tinggi dari biasanya.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American Diabetes Association Professional Practice Committee. Standards of Care in Diabetes—2026. Diabetes Care. 2026;49(Suppl 1):S6-S12. Tersedia di: https://diabetesjournals.org/care/article/49/Supplement_1/S6/163930/Summary-of-Revisions-Standards-of-Care-in-Diabetes</w:t>
      </w:r>
    </w:p>
    <w:p>
      <w:pPr>
        <w:spacing w:after="100"/>
        <w:ind w:left="360" w:hanging="360"/>
      </w:pPr>
      <w:r>
        <w:rPr>
          <w:rFonts w:ascii="Calibri" w:cs="Calibri" w:eastAsia="Calibri" w:hAnsi="Calibri"/>
          <w:color w:val="17251F"/>
          <w:sz w:val="20"/>
          <w:szCs w:val="20"/>
        </w:rPr>
        <w:t xml:space="preserve">2. World Health Organization. General health advice and guidelines for pilgrims [Internet]. Cairo: WHO Regional Office for the Eastern Mediterranean; 2023 [dikutip 2026 Jul 15]. Tersedia di: https://www.emro.who.int/media/news/general-health-advice-and-guidelines-for-pilgrims.html</w:t>
      </w:r>
    </w:p>
    <w:p>
      <w:pPr>
        <w:spacing w:after="100"/>
        <w:ind w:left="360" w:hanging="360"/>
      </w:pPr>
      <w:r>
        <w:rPr>
          <w:rFonts w:ascii="Calibri" w:cs="Calibri" w:eastAsia="Calibri" w:hAnsi="Calibri"/>
          <w:color w:val="17251F"/>
          <w:sz w:val="20"/>
          <w:szCs w:val="20"/>
        </w:rPr>
        <w:t xml:space="preserve">3. Kementerian Kesehatan Republik Indonesia. Pedoman Pemeriksaan dan Pembinaan Kesehatan Jemaah Haji (Istithaah Kesehatan Haji). Jakarta: Kemenkes RI. [URL belum diverifikasi]</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MK05 · Modul 3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2026-07-15T19:33:05.437Z</dcterms:created>
  <dcterms:modified xsi:type="dcterms:W3CDTF">2026-07-15T19:33:05.437Z</dcterms:modified>
</cp:coreProperties>
</file>

<file path=docProps/custom.xml><?xml version="1.0" encoding="utf-8"?>
<Properties xmlns="http://schemas.openxmlformats.org/officeDocument/2006/custom-properties" xmlns:vt="http://schemas.openxmlformats.org/officeDocument/2006/docPropsVTypes"/>
</file>