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b/>
          <w:bCs/>
          <w:color w:val="526059"/>
          <w:sz w:val="20"/>
          <w:szCs w:val="20"/>
        </w:rPr>
        <w:t xml:space="preserve">MK01</w:t>
      </w:r>
    </w:p>
    <w:p>
      <w:pPr>
        <w:pBdr>
          <w:bottom w:val="single" w:color="B6862C" w:sz="14" w:space="6"/>
        </w:pBdr>
        <w:spacing w:after="300"/>
      </w:pPr>
      <w:r>
        <w:rPr>
          <w:rFonts w:ascii="Cambria" w:cs="Cambria" w:eastAsia="Cambria" w:hAnsi="Cambria"/>
          <w:b/>
          <w:bCs/>
          <w:color w:val="123D33"/>
          <w:sz w:val="34"/>
          <w:szCs w:val="34"/>
        </w:rPr>
        <w:t xml:space="preserve">Fondasi Kedokteran Haji Lintas Jalur — Modul 4: Epidemiologi Dasar Morbiditas dan Mortalitas Jemaah</w:t>
      </w:r>
    </w:p>
    <w:p>
      <w:pPr>
        <w:pBdr>
          <w:bottom w:val="single" w:color="1F6F5C" w:sz="8" w:space="4"/>
        </w:pBdr>
        <w:spacing w:after="200" w:before="400"/>
      </w:pPr>
      <w:r>
        <w:rPr>
          <w:rFonts w:ascii="Cambria" w:cs="Cambria" w:eastAsia="Cambria" w:hAnsi="Cambria"/>
          <w:b/>
          <w:bCs/>
          <w:color w:val="1F6F5C"/>
          <w:sz w:val="28"/>
          <w:szCs w:val="28"/>
        </w:rPr>
        <w:t xml:space="preserve">A. Tujuan Pembelajaran</w:t>
      </w:r>
    </w:p>
    <w:p>
      <w:pPr>
        <w:pStyle w:val="Heading4"/>
        <w:spacing w:after="120" w:before="240"/>
      </w:pPr>
      <w:r>
        <w:rPr>
          <w:rFonts w:ascii="Cambria" w:cs="Cambria" w:eastAsia="Cambria" w:hAnsi="Cambria"/>
          <w:b/>
          <w:bCs/>
          <w:color w:val="123D33"/>
          <w:sz w:val="24"/>
          <w:szCs w:val="24"/>
        </w:rPr>
        <w:t xml:space="preserve">1. Pengetahuan</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Mengidentifikasi pola morbiditas dan mortalitas jemaah haji berdasarkan kategori penyakit dan pola temporal-spasial.</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Menjelaskan sumber data epidemiologi kesehatan haji beserta keterbatasan metodologis masing-masing sumber.</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Menguraikan konsep faktor risiko berlapis (individu, perilaku, lingkungan-sistem) dalam epidemiologi kesehatan haji.</w:t>
      </w:r>
    </w:p>
    <w:p>
      <w:pPr>
        <w:pStyle w:val="Heading4"/>
        <w:spacing w:after="120" w:before="240"/>
      </w:pPr>
      <w:r>
        <w:rPr>
          <w:rFonts w:ascii="Cambria" w:cs="Cambria" w:eastAsia="Cambria" w:hAnsi="Cambria"/>
          <w:b/>
          <w:bCs/>
          <w:color w:val="123D33"/>
          <w:sz w:val="24"/>
          <w:szCs w:val="24"/>
        </w:rPr>
        <w:t xml:space="preserve">2. Sikap</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Menumbuhkan sikap ilmiah yang berhati-hati terhadap data epidemiologi, termasuk kebiasaan memeriksa metodologi di balik setiap angka yang dikutip.</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Menghindari penggunaan angka morbiditas/mortalitas yang tidak dapat diverifikasi asal-usulnya.</w:t>
      </w:r>
    </w:p>
    <w:p>
      <w:pPr>
        <w:pStyle w:val="Heading4"/>
        <w:spacing w:after="120" w:before="240"/>
      </w:pPr>
      <w:r>
        <w:rPr>
          <w:rFonts w:ascii="Cambria" w:cs="Cambria" w:eastAsia="Cambria" w:hAnsi="Cambria"/>
          <w:b/>
          <w:bCs/>
          <w:color w:val="123D33"/>
          <w:sz w:val="24"/>
          <w:szCs w:val="24"/>
        </w:rPr>
        <w:t xml:space="preserve">3. Psikomotor</w:t>
      </w:r>
    </w:p>
    <w:p>
      <w:pPr>
        <w:pStyle w:val="ListParagraph"/>
        <w:numPr>
          <w:ilvl w:val="0"/>
          <w:numId w:val="2"/>
        </w:numPr>
        <w:spacing w:after="100" w:line="280"/>
      </w:pPr>
      <w:r>
        <w:rPr>
          <w:rFonts w:ascii="Calibri" w:cs="Calibri" w:eastAsia="Calibri" w:hAnsi="Calibri"/>
          <w:b w:val="false"/>
          <w:bCs w:val="false"/>
          <w:color w:val="17251F"/>
          <w:sz w:val="22"/>
          <w:szCs w:val="22"/>
        </w:rPr>
        <w:t xml:space="preserve">Membandingkan dua sumber data epidemiologi kesehatan haji yang berbeda untuk mengidentifikasi potensi kesalahan interpretasi akibat perbedaan cakupan dan definisi kasus.</w:t>
      </w:r>
    </w:p>
    <w:p>
      <w:pPr>
        <w:pBdr>
          <w:bottom w:val="single" w:color="1F6F5C" w:sz="8" w:space="4"/>
        </w:pBdr>
        <w:spacing w:after="200" w:before="400"/>
      </w:pPr>
      <w:r>
        <w:rPr>
          <w:rFonts w:ascii="Cambria" w:cs="Cambria" w:eastAsia="Cambria" w:hAnsi="Cambria"/>
          <w:b/>
          <w:bCs/>
          <w:color w:val="1F6F5C"/>
          <w:sz w:val="28"/>
          <w:szCs w:val="28"/>
        </w:rPr>
        <w:t xml:space="preserve">B. Deskripsi</w:t>
      </w:r>
    </w:p>
    <w:p>
      <w:pPr>
        <w:spacing w:after="160" w:line="300"/>
        <w:jc w:val="both"/>
      </w:pPr>
      <w:r>
        <w:rPr>
          <w:rFonts w:ascii="Calibri" w:cs="Calibri" w:eastAsia="Calibri" w:hAnsi="Calibri"/>
          <w:i w:val="false"/>
          <w:iCs w:val="false"/>
          <w:color w:val="17251F"/>
          <w:sz w:val="22"/>
          <w:szCs w:val="22"/>
        </w:rPr>
        <w:t xml:space="preserve">Sebelum dokter dapat menyusun strategi pencegahan atau kesiapsiagaan yang tepat, ia perlu memahami lebih dulu jenis dan pola kegawatan apa saja yang paling sering dan paling mematikan pada populasi jemaah. Modul ini penting bukan hanya sebagai pengetahuan teoretis, tetapi sebagai dasar penempatan sumber daya kesehatan, pemantauan proaktif kelompok risiko tinggi, dan perancangan penelitian yang mengisi kesenjangan pengetahuan.</w:t>
      </w:r>
    </w:p>
    <w:p>
      <w:pPr>
        <w:spacing w:after="160" w:line="300"/>
        <w:jc w:val="both"/>
      </w:pPr>
      <w:r>
        <w:rPr>
          <w:rFonts w:ascii="Calibri" w:cs="Calibri" w:eastAsia="Calibri" w:hAnsi="Calibri"/>
          <w:i w:val="false"/>
          <w:iCs w:val="false"/>
          <w:color w:val="17251F"/>
          <w:sz w:val="22"/>
          <w:szCs w:val="22"/>
        </w:rPr>
        <w:t xml:space="preserve">Mahasiswa perlu menginternalisasi bahwa keputusan kebijakan dan klinis yang didasarkan pada data epidemiologi yang keliru dapat berdampak langsung pada keselamatan jemaah, sehingga sikap kehati-hatian terhadap sumber dan metodologi data menjadi tanggung jawab profesional, bukan sekadar formalitas akademik.</w:t>
      </w:r>
    </w:p>
    <w:p>
      <w:pPr>
        <w:pBdr>
          <w:bottom w:val="single" w:color="1F6F5C" w:sz="8" w:space="4"/>
        </w:pBdr>
        <w:spacing w:after="200" w:before="400"/>
      </w:pPr>
      <w:r>
        <w:rPr>
          <w:rFonts w:ascii="Cambria" w:cs="Cambria" w:eastAsia="Cambria" w:hAnsi="Cambria"/>
          <w:b/>
          <w:bCs/>
          <w:color w:val="1F6F5C"/>
          <w:sz w:val="28"/>
          <w:szCs w:val="28"/>
        </w:rPr>
        <w:t xml:space="preserve">C. Materi Inti</w:t>
      </w:r>
    </w:p>
    <w:p>
      <w:pPr>
        <w:pStyle w:val="Heading3"/>
        <w:spacing w:after="120" w:before="240"/>
      </w:pPr>
      <w:r>
        <w:rPr>
          <w:rFonts w:ascii="Cambria" w:cs="Cambria" w:eastAsia="Cambria" w:hAnsi="Cambria"/>
          <w:b/>
          <w:bCs/>
          <w:color w:val="123D33"/>
          <w:sz w:val="24"/>
          <w:szCs w:val="24"/>
        </w:rPr>
        <w:t xml:space="preserve">Pola Morbiditas dan Mortalitas yang Perlu Dikenali</w:t>
      </w:r>
    </w:p>
    <w:p>
      <w:pPr>
        <w:spacing w:after="160" w:line="300"/>
        <w:jc w:val="both"/>
      </w:pPr>
      <w:r>
        <w:rPr>
          <w:rFonts w:ascii="Calibri" w:cs="Calibri" w:eastAsia="Calibri" w:hAnsi="Calibri"/>
          <w:i w:val="false"/>
          <w:iCs w:val="false"/>
          <w:color w:val="17251F"/>
          <w:sz w:val="22"/>
          <w:szCs w:val="22"/>
        </w:rPr>
        <w:t xml:space="preserve">Secara umum, pola morbiditas jemaah haji dapat dikelompokkan ke dalam beberapa kategori besar: penyakit terkait panas yang insidennya meningkat tajam pada periode wukuf; penyakit kardiovaskular akut, termasuk sindrom koroner akut dan gagal jantung dekompensasi; penyakit pernapasan, dari infeksi saluran pernapasan akut hingga eksaserbasi PPOK dan asma; gangguan muskuloskeletal akibat aktivitas berjalan jarak jauh; serta cedera traumatik akibat kepadatan kerumunan, termasuk risiko Mass Casualty Incident.</w:t>
      </w:r>
    </w:p>
    <w:p>
      <w:pPr>
        <w:spacing w:after="160" w:line="300"/>
        <w:jc w:val="both"/>
      </w:pPr>
      <w:r>
        <w:rPr>
          <w:rFonts w:ascii="Calibri" w:cs="Calibri" w:eastAsia="Calibri" w:hAnsi="Calibri"/>
          <w:i w:val="false"/>
          <w:iCs w:val="false"/>
          <w:color w:val="17251F"/>
          <w:sz w:val="22"/>
          <w:szCs w:val="22"/>
        </w:rPr>
        <w:t xml:space="preserve">Pola mortalitas, berdasarkan kajian yang pernah dipublikasikan pada literatur kesehatan haji internasional, secara konsisten menunjukkan bahwa penyebab kematian terbanyak berkaitan dengan penyakit kardiovaskular dan pernapasan, dengan proporsi bervariasi antar-musim tergantung kondisi cuaca. Kelompok usia lanjut, terutama di atas enam puluh tahun, secara konsisten menunjukkan risiko mortalitas lebih tinggi. Mahasiswa diingatkan untuk tidak mengutip angka spesifik dari ingatan atau sumber tidak terverifikasi. [DATA: rujuk sumber resmi terbaru] untuk angka morbiditas dan mortalitas terkini dari otoritas kesehatan Arab Saudi maupun Kemenkes dan Kemenhaj Indonesia.</w:t>
      </w:r>
    </w:p>
    <w:p>
      <w:pPr>
        <w:spacing w:after="160" w:line="300"/>
        <w:jc w:val="both"/>
      </w:pPr>
      <w:r>
        <w:rPr>
          <w:rFonts w:ascii="Calibri" w:cs="Calibri" w:eastAsia="Calibri" w:hAnsi="Calibri"/>
          <w:i w:val="false"/>
          <w:iCs w:val="false"/>
          <w:color w:val="17251F"/>
          <w:sz w:val="22"/>
          <w:szCs w:val="22"/>
        </w:rPr>
        <w:t xml:space="preserve">Secara temporal, insiden kegawatan medis cenderung meningkat menjelang dan selama puncak ibadah, kemudian menurun setelah memasuki fase kepulangan—meskipun periode kepulangan sendiri membawa risiko akibat kelelahan kumulatif. Secara spasial, lokasi dengan kepadatan jemaah tertinggi—area tawaf, jalur sai, area lempar jumrah, dan dataran Arafah saat wukuf—konsisten menjadi titik konsentrasi kasus kegawatan tertinggi.</w:t>
      </w:r>
    </w:p>
    <w:p>
      <w:pPr>
        <w:spacing w:after="160" w:line="300"/>
        <w:jc w:val="both"/>
      </w:pPr>
      <w:r>
        <w:rPr>
          <w:rFonts w:ascii="Calibri" w:cs="Calibri" w:eastAsia="Calibri" w:hAnsi="Calibri"/>
          <w:i w:val="false"/>
          <w:iCs w:val="false"/>
          <w:color w:val="17251F"/>
          <w:sz w:val="22"/>
          <w:szCs w:val="22"/>
        </w:rPr>
        <w:t xml:space="preserve">Sebagai ilustrasi skala operasional yang relevan untuk memahami besaran populasi yang dipantau, penyelenggaraan haji Indonesia 1447 H/2026 M memberangkatkan 202.636 jemaah haji reguler dalam 527 kelompok terbang melalui 16 embarkasi. Sejumlah evaluasi regional pascamusim haji 2026 melaporkan tren penurunan jumlah kematian jemaah dibandingkan tahun sebelumnya, namun otoritas kesehatan haji tetap menjadikan angka kematian sebagai perhatian serius dan mendorong pengetatan kriteria istithaah kesehatan pada musim berikutnya. Mahasiswa tetap diminta merujuk laporan evaluasi resmi Kemenhaj dan Kemenkes untuk angka morbiditas-mortalitas nasional definitif per musim haji, karena angka regional maupun sepintas dari pemberitaan tidak boleh digeneralisasi sebagai angka nasional. [DATA: rujuk laporan evaluasi resmi Kemenhaj/Kemenkes musim haji berjalan]</w:t>
      </w:r>
    </w:p>
    <w:p>
      <w:pPr>
        <w:pStyle w:val="Heading3"/>
        <w:spacing w:after="120" w:before="240"/>
      </w:pPr>
      <w:r>
        <w:rPr>
          <w:rFonts w:ascii="Cambria" w:cs="Cambria" w:eastAsia="Cambria" w:hAnsi="Cambria"/>
          <w:b/>
          <w:bCs/>
          <w:color w:val="123D33"/>
          <w:sz w:val="24"/>
          <w:szCs w:val="24"/>
        </w:rPr>
        <w:t xml:space="preserve">Sumber Data dan Keterbatasan Metodologisnya</w:t>
      </w:r>
    </w:p>
    <w:p>
      <w:pPr>
        <w:spacing w:after="160" w:line="300"/>
        <w:jc w:val="both"/>
      </w:pPr>
      <w:r>
        <w:rPr>
          <w:rFonts w:ascii="Calibri" w:cs="Calibri" w:eastAsia="Calibri" w:hAnsi="Calibri"/>
          <w:i w:val="false"/>
          <w:iCs w:val="false"/>
          <w:color w:val="17251F"/>
          <w:sz w:val="22"/>
          <w:szCs w:val="22"/>
        </w:rPr>
        <w:t xml:space="preserve">Data administratif dari SISKOHAT mencatat data jemaah termasuk riwayat kesehatan sejak pendaftaran hingga kepulangan. Data klinis dari fasilitas kesehatan, termasuk KKHI dan pos kesehatan lapangan TKHI, mencatat kunjungan, diagnosis, dan tindakan. Data dari otoritas kesehatan Arab Saudi mencakup jemaah dari seluruh dunia dan memberikan gambaran epidemiologi skala global. Perbedaan cakupan, definisi kasus, dan metode pencatatan antar-sumber perlu dipahami agar peserta didik tidak keliru membandingkan angka dari sumber berbeda secara langsung.</w:t>
      </w:r>
    </w:p>
    <w:p>
      <w:pPr>
        <w:spacing w:after="160" w:line="300"/>
        <w:jc w:val="both"/>
      </w:pPr>
      <w:r>
        <w:rPr>
          <w:rFonts w:ascii="Calibri" w:cs="Calibri" w:eastAsia="Calibri" w:hAnsi="Calibri"/>
          <w:i w:val="false"/>
          <w:iCs w:val="false"/>
          <w:color w:val="17251F"/>
          <w:sz w:val="22"/>
          <w:szCs w:val="22"/>
        </w:rPr>
        <w:t xml:space="preserve">Studi epidemiologi kesehatan haji menghadapi keterbatasan metodologis tersendiri: kesulitan melakukan studi kohort jangka panjang, tantangan standardisasi definisi kasus antar-negara, serta keterbatasan akses data lintas negara akibat pertimbangan kedaulatan data. Keterbatasan ini menjadi peluang bagi peneliti untuk mengembangkan metodologi inovatif yang sesuai dengan karakteristik unik populasi haji.</w:t>
      </w:r>
    </w:p>
    <w:tbl>
      <w:tblPr>
        <w:tblW w:type="dxa" w:w="9350"/>
        <w:tblBorders>
          <w:top w:val="single" w:color="E1E9E5" w:sz="4"/>
          <w:left w:val="single" w:color="E1E9E5" w:sz="4"/>
          <w:bottom w:val="single" w:color="E1E9E5" w:sz="4"/>
          <w:right w:val="single" w:color="E1E9E5" w:sz="4"/>
          <w:insideH w:val="none" w:color="FFFFFF" w:sz="0"/>
          <w:insideV w:val="none" w:color="FFFFFF" w:sz="0"/>
        </w:tblBorders>
      </w:tblPr>
      <w:tblGrid>
        <w:gridCol w:w="9350"/>
      </w:tblGrid>
      <w:tr>
        <w:tc>
          <w:tcPr>
            <w:tcW w:type="dxa" w:w="9350"/>
            <w:shd w:fill="E8F2EE" w:color="auto" w:val="clear"/>
            <w:tcMar>
              <w:top w:type="dxa" w:w="160"/>
              <w:left w:type="dxa" w:w="200"/>
              <w:bottom w:type="dxa" w:w="160"/>
              <w:right w:type="dxa" w:w="200"/>
            </w:tcMar>
          </w:tcPr>
          <w:p>
            <w:pPr>
              <w:spacing w:after="80" w:line="280"/>
            </w:pPr>
            <w:r>
              <w:rPr>
                <w:rFonts w:ascii="Calibri" w:cs="Calibri" w:eastAsia="Calibri" w:hAnsi="Calibri"/>
                <w:b/>
                <w:bCs/>
                <w:color w:val="123D33"/>
                <w:sz w:val="21"/>
                <w:szCs w:val="21"/>
              </w:rPr>
              <w:t xml:space="preserve">Tiga Level Faktor Risiko dalam Epidemiologi Kesehatan Haji</w:t>
            </w:r>
          </w:p>
          <w:p>
            <w:pPr>
              <w:spacing w:after="80" w:line="280"/>
            </w:pPr>
            <w:r>
              <w:rPr>
                <w:rFonts w:ascii="Calibri" w:cs="Calibri" w:eastAsia="Calibri" w:hAnsi="Calibri"/>
                <w:b w:val="false"/>
                <w:bCs w:val="false"/>
                <w:color w:val="123D33"/>
                <w:sz w:val="21"/>
                <w:szCs w:val="21"/>
              </w:rPr>
              <w:t xml:space="preserve">Individu: usia, komorbiditas kronik.</w:t>
            </w:r>
          </w:p>
          <w:p>
            <w:pPr>
              <w:spacing w:after="80" w:line="280"/>
            </w:pPr>
            <w:r>
              <w:rPr>
                <w:rFonts w:ascii="Calibri" w:cs="Calibri" w:eastAsia="Calibri" w:hAnsi="Calibri"/>
                <w:b w:val="false"/>
                <w:bCs w:val="false"/>
                <w:color w:val="123D33"/>
                <w:sz w:val="21"/>
                <w:szCs w:val="21"/>
              </w:rPr>
              <w:t xml:space="preserve">Perilaku: kepatuhan hidrasi dan istirahat.</w:t>
            </w:r>
          </w:p>
          <w:p>
            <w:pPr>
              <w:spacing w:after="0" w:line="280"/>
            </w:pPr>
            <w:r>
              <w:rPr>
                <w:rFonts w:ascii="Calibri" w:cs="Calibri" w:eastAsia="Calibri" w:hAnsi="Calibri"/>
                <w:b w:val="false"/>
                <w:bCs w:val="false"/>
                <w:color w:val="123D33"/>
                <w:sz w:val="21"/>
                <w:szCs w:val="21"/>
              </w:rPr>
              <w:t xml:space="preserve">Lingkungan-sistem: kepadatan, ketersediaan fasilitas, efektivitas rujukan.</w:t>
            </w:r>
          </w:p>
        </w:tc>
      </w:tr>
    </w:tbl>
    <w:p>
      <w:pPr>
        <w:pBdr>
          <w:bottom w:val="single" w:color="1F6F5C" w:sz="8" w:space="4"/>
        </w:pBdr>
        <w:spacing w:after="200" w:before="400"/>
      </w:pPr>
      <w:r>
        <w:rPr>
          <w:rFonts w:ascii="Cambria" w:cs="Cambria" w:eastAsia="Cambria" w:hAnsi="Cambria"/>
          <w:b/>
          <w:bCs/>
          <w:color w:val="1F6F5C"/>
          <w:sz w:val="28"/>
          <w:szCs w:val="28"/>
        </w:rPr>
        <w:t xml:space="preserve">D. Ilustrasi Kasus (Vignette)</w:t>
      </w:r>
    </w:p>
    <w:p>
      <w:pPr>
        <w:spacing w:after="160" w:line="300"/>
        <w:jc w:val="both"/>
      </w:pPr>
      <w:r>
        <w:rPr>
          <w:rFonts w:ascii="Calibri" w:cs="Calibri" w:eastAsia="Calibri" w:hAnsi="Calibri"/>
          <w:i w:val="false"/>
          <w:iCs w:val="false"/>
          <w:color w:val="17251F"/>
          <w:sz w:val="22"/>
          <w:szCs w:val="22"/>
        </w:rPr>
        <w:t xml:space="preserve">Seorang mahasiswa membandingkan 'angka kematian jemaah tahun X' yang dikutip dari satu artikel berita dengan 'angka kematian tahun Y' dari laporan resmi. Ia berisiko menarik kesimpulan keliru bila kedua angka tersebut menggunakan definisi kasus atau cakupan populasi berbeda—satu mungkin hanya mencakup jemaah Indonesia, yang lain mencakup seluruh jemaah dunia.</w:t>
      </w:r>
    </w:p>
    <w:p>
      <w:pPr>
        <w:spacing w:after="160" w:line="300"/>
        <w:jc w:val="both"/>
      </w:pPr>
      <w:r>
        <w:rPr>
          <w:rFonts w:ascii="Calibri" w:cs="Calibri" w:eastAsia="Calibri" w:hAnsi="Calibri"/>
          <w:i w:val="false"/>
          <w:iCs w:val="false"/>
          <w:color w:val="17251F"/>
          <w:sz w:val="22"/>
          <w:szCs w:val="22"/>
        </w:rPr>
        <w:t xml:space="preserve">Diskusikan: langkah-langkah apa yang perlu ditempuh mahasiswa tersebut sebelum menggunakan kedua angka itu dalam sebuah analisis atau laporan? Mengapa kebiasaan memeriksa metodologi di balik angka menjadi keterampilan epidemiologi dasar yang harus dimiliki sejak awal?</w:t>
      </w:r>
    </w:p>
    <w:p>
      <w:pPr>
        <w:pBdr>
          <w:bottom w:val="single" w:color="1F6F5C" w:sz="8" w:space="4"/>
        </w:pBdr>
        <w:spacing w:after="200" w:before="400"/>
      </w:pPr>
      <w:r>
        <w:rPr>
          <w:rFonts w:ascii="Cambria" w:cs="Cambria" w:eastAsia="Cambria" w:hAnsi="Cambria"/>
          <w:b/>
          <w:bCs/>
          <w:color w:val="1F6F5C"/>
          <w:sz w:val="28"/>
          <w:szCs w:val="28"/>
        </w:rPr>
        <w:t xml:space="preserve">E. Referensi</w:t>
      </w:r>
    </w:p>
    <w:p>
      <w:pPr>
        <w:spacing w:after="140" w:line="280"/>
        <w:ind w:left="360" w:hanging="360"/>
      </w:pPr>
      <w:r>
        <w:rPr>
          <w:rFonts w:ascii="Calibri" w:cs="Calibri" w:eastAsia="Calibri" w:hAnsi="Calibri"/>
          <w:color w:val="17251F"/>
          <w:sz w:val="21"/>
          <w:szCs w:val="21"/>
        </w:rPr>
        <w:t xml:space="preserve">1. </w:t>
      </w:r>
      <w:r>
        <w:rPr>
          <w:rFonts w:ascii="Calibri" w:cs="Calibri" w:eastAsia="Calibri" w:hAnsi="Calibri"/>
          <w:color w:val="17251F"/>
          <w:sz w:val="21"/>
          <w:szCs w:val="21"/>
        </w:rPr>
        <w:t xml:space="preserve">Memish ZA, Zumla A, Alhakeem RF, Assiri A, Turkestani A, Al Harby KD, et al. Hajj: infectious disease surveillance and control. Lancet. 2014;383(9934):2073-82. Tersedia dari: https://www.thelancet.com/journals/lancet/article/PIIS0140-6736(14)60381-0/fulltext.</w:t>
      </w:r>
    </w:p>
    <w:p>
      <w:pPr>
        <w:spacing w:after="140" w:line="280"/>
        <w:ind w:left="360" w:hanging="360"/>
      </w:pPr>
      <w:r>
        <w:rPr>
          <w:rFonts w:ascii="Calibri" w:cs="Calibri" w:eastAsia="Calibri" w:hAnsi="Calibri"/>
          <w:color w:val="17251F"/>
          <w:sz w:val="21"/>
          <w:szCs w:val="21"/>
        </w:rPr>
        <w:t xml:space="preserve">2. </w:t>
      </w:r>
      <w:r>
        <w:rPr>
          <w:rFonts w:ascii="Calibri" w:cs="Calibri" w:eastAsia="Calibri" w:hAnsi="Calibri"/>
          <w:color w:val="17251F"/>
          <w:sz w:val="21"/>
          <w:szCs w:val="21"/>
        </w:rPr>
        <w:t xml:space="preserve">Ahmed QA, Arabi YM, Memish ZA. Health risks at the Hajj. Lancet. 2006;367(9515):1008-15. Tersedia dari: https://doi.org/10.1016/S0140-6736(06)68429-8.</w:t>
      </w:r>
    </w:p>
    <w:sectPr>
      <w:headerReference w:type="default" r:id="rId7"/>
      <w:footerReference w:type="default" r:id="rId8"/>
      <w:pgSz w:w="11906" w:h="16838" w:orient="portrait"/>
      <w:pgMar w:top="1418" w:right="1418" w:bottom="1418" w:left="1418"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8"/>
        <w:szCs w:val="18"/>
      </w:rPr>
      <w:t xml:space="preserve"/>
    </w:r>
    <w:r>
      <w:rPr>
        <w:rFonts w:ascii="Calibri" w:cs="Calibri" w:eastAsia="Calibri" w:hAnsi="Calibri"/>
        <w:color w:val="52605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libri" w:cs="Calibri" w:eastAsia="Calibri" w:hAnsi="Calibri"/>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2026-07-16T00:49:13.833Z</dcterms:created>
  <dcterms:modified xsi:type="dcterms:W3CDTF">2026-07-16T00:49:13.833Z</dcterms:modified>
</cp:coreProperties>
</file>

<file path=docProps/custom.xml><?xml version="1.0" encoding="utf-8"?>
<Properties xmlns="http://schemas.openxmlformats.org/officeDocument/2006/custom-properties" xmlns:vt="http://schemas.openxmlformats.org/officeDocument/2006/docPropsVTypes"/>
</file>