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jc w:val="left"/>
      </w:pPr>
      <w:r>
        <w:rPr>
          <w:rFonts w:ascii="Cambria" w:hAnsi="Cambria" w:eastAsia="Cambria" w:cs="Cambria"/>
          <w:b w:val="0"/>
          <w:i w:val="0"/>
          <w:color w:val="526059"/>
          <w:sz w:val="24"/>
        </w:rPr>
        <w:t>MK04 — Farmakologi Klinis dalam Kondisi Ekstrem</w:t>
      </w:r>
    </w:p>
    <w:p>
      <w:pPr>
        <w:spacing w:before="0" w:after="280"/>
        <w:pBdr>
          <w:bottom w:val="single" w:sz="6" w:space="4" w:color="B6862C"/>
        </w:pBdr>
      </w:pPr>
      <w:r>
        <w:rPr>
          <w:rFonts w:ascii="Cambria" w:hAnsi="Cambria" w:eastAsia="Cambria" w:cs="Cambria"/>
          <w:b/>
          <w:i w:val="0"/>
          <w:color w:val="123D33"/>
          <w:sz w:val="40"/>
        </w:rPr>
        <w:t>Modul 4: Manajemen Penyimpanan dan Stabilitas Obat di Lapangan</w:t>
      </w:r>
    </w:p>
    <w:p>
      <w:pPr>
        <w:spacing w:before="320" w:after="120"/>
        <w:pBdr>
          <w:bottom w:val="single" w:sz="4" w:space="4" w:color="1F6F5C"/>
        </w:pBdr>
      </w:pPr>
      <w:r>
        <w:rPr>
          <w:rFonts w:ascii="Cambria" w:hAnsi="Cambria" w:eastAsia="Cambria" w:cs="Cambria"/>
          <w:b/>
          <w:i w:val="0"/>
          <w:color w:val="1F6F5C"/>
          <w:sz w:val="28"/>
        </w:rPr>
        <w:t>A. Tujuan Pembelajaran</w:t>
      </w:r>
    </w:p>
    <w:p>
      <w:pPr>
        <w:spacing w:before="200" w:after="80"/>
      </w:pPr>
      <w:r>
        <w:rPr>
          <w:rFonts w:ascii="Cambria" w:hAnsi="Cambria" w:eastAsia="Cambria" w:cs="Cambria"/>
          <w:b/>
          <w:i w:val="0"/>
          <w:color w:val="123D33"/>
          <w:sz w:val="22"/>
        </w:rPr>
        <w:t>1. Pengetahuan</w:t>
      </w:r>
    </w:p>
    <w:p>
      <w:pPr>
        <w:pStyle w:val="ListBullet"/>
        <w:spacing w:after="80"/>
      </w:pPr>
      <w:r>
        <w:rPr>
          <w:rFonts w:ascii="Calibri" w:hAnsi="Calibri" w:eastAsia="Calibri" w:cs="Calibri"/>
          <w:b w:val="0"/>
          <w:i w:val="0"/>
          <w:color w:val="17251F"/>
          <w:sz w:val="22"/>
        </w:rPr>
        <w:t>Menjelaskan tantangan rantai dingin dan stabilitas obat pada iklim ekstrem lapangan haji.</w:t>
      </w:r>
    </w:p>
    <w:p>
      <w:pPr>
        <w:pStyle w:val="ListBullet"/>
        <w:spacing w:after="80"/>
      </w:pPr>
      <w:r>
        <w:rPr>
          <w:rFonts w:ascii="Calibri" w:hAnsi="Calibri" w:eastAsia="Calibri" w:cs="Calibri"/>
          <w:b w:val="0"/>
          <w:i w:val="0"/>
          <w:color w:val="17251F"/>
          <w:sz w:val="22"/>
        </w:rPr>
        <w:t>Menguraikan prinsip penyimpanan berdasarkan kategori obat dan sensitivitas suhunya.</w:t>
      </w:r>
    </w:p>
    <w:p>
      <w:pPr>
        <w:pStyle w:val="ListBullet"/>
        <w:spacing w:after="80"/>
      </w:pPr>
      <w:r>
        <w:rPr>
          <w:rFonts w:ascii="Calibri" w:hAnsi="Calibri" w:eastAsia="Calibri" w:cs="Calibri"/>
          <w:b w:val="0"/>
          <w:i w:val="0"/>
          <w:color w:val="17251F"/>
          <w:sz w:val="22"/>
        </w:rPr>
        <w:t>Menjelaskan rencana kontingensi menangani kerusakan obat di luar kendali dokter kloter.</w:t>
      </w:r>
    </w:p>
    <w:p>
      <w:pPr>
        <w:spacing w:before="200" w:after="80"/>
      </w:pPr>
      <w:r>
        <w:rPr>
          <w:rFonts w:ascii="Cambria" w:hAnsi="Cambria" w:eastAsia="Cambria" w:cs="Cambria"/>
          <w:b/>
          <w:i w:val="0"/>
          <w:color w:val="123D33"/>
          <w:sz w:val="22"/>
        </w:rPr>
        <w:t>2. Sikap</w:t>
      </w:r>
    </w:p>
    <w:p>
      <w:pPr>
        <w:pStyle w:val="ListBullet"/>
        <w:spacing w:after="80"/>
      </w:pPr>
      <w:r>
        <w:rPr>
          <w:rFonts w:ascii="Calibri" w:hAnsi="Calibri" w:eastAsia="Calibri" w:cs="Calibri"/>
          <w:b w:val="0"/>
          <w:i w:val="0"/>
          <w:color w:val="17251F"/>
          <w:sz w:val="22"/>
        </w:rPr>
        <w:t>Menunjukkan kedisiplinan melakukan pemeriksaan visual berkala terhadap kelayakan obat, bukan menunggu tanda kerusakan nyata.</w:t>
      </w:r>
    </w:p>
    <w:p>
      <w:pPr>
        <w:pStyle w:val="ListBullet"/>
        <w:spacing w:after="80"/>
      </w:pPr>
      <w:r>
        <w:rPr>
          <w:rFonts w:ascii="Calibri" w:hAnsi="Calibri" w:eastAsia="Calibri" w:cs="Calibri"/>
          <w:b w:val="0"/>
          <w:i w:val="0"/>
          <w:color w:val="17251F"/>
          <w:sz w:val="22"/>
        </w:rPr>
        <w:t>Menghargai pentingnya melaporkan kerusakan obat berulang sebagai masukan perbaikan sistem, bukan hanya insiden terisolasi.</w:t>
      </w:r>
    </w:p>
    <w:p>
      <w:pPr>
        <w:spacing w:before="200" w:after="80"/>
      </w:pPr>
      <w:r>
        <w:rPr>
          <w:rFonts w:ascii="Cambria" w:hAnsi="Cambria" w:eastAsia="Cambria" w:cs="Cambria"/>
          <w:b/>
          <w:i w:val="0"/>
          <w:color w:val="123D33"/>
          <w:sz w:val="22"/>
        </w:rPr>
        <w:t>3. Psikomotor</w:t>
      </w:r>
    </w:p>
    <w:p>
      <w:pPr>
        <w:pStyle w:val="ListBullet"/>
        <w:spacing w:after="80"/>
      </w:pPr>
      <w:r>
        <w:rPr>
          <w:rFonts w:ascii="Calibri" w:hAnsi="Calibri" w:eastAsia="Calibri" w:cs="Calibri"/>
          <w:b w:val="0"/>
          <w:i w:val="0"/>
          <w:color w:val="17251F"/>
          <w:sz w:val="22"/>
        </w:rPr>
        <w:t>Mendemonstrasikan algoritma pengelolaan obat sensitif suhu di lapangan.</w:t>
      </w:r>
    </w:p>
    <w:p>
      <w:pPr>
        <w:pStyle w:val="ListBullet"/>
        <w:spacing w:after="80"/>
      </w:pPr>
      <w:r>
        <w:rPr>
          <w:rFonts w:ascii="Calibri" w:hAnsi="Calibri" w:eastAsia="Calibri" w:cs="Calibri"/>
          <w:b w:val="0"/>
          <w:i w:val="0"/>
          <w:color w:val="17251F"/>
          <w:sz w:val="22"/>
        </w:rPr>
        <w:t>Mempraktikkan edukasi penyimpanan obat pribadi kepada jemaah pengguna obat sensitif suhu.</w:t>
      </w:r>
    </w:p>
    <w:p>
      <w:pPr>
        <w:spacing w:before="320" w:after="120"/>
        <w:pBdr>
          <w:bottom w:val="single" w:sz="4" w:space="4" w:color="1F6F5C"/>
        </w:pBdr>
      </w:pPr>
      <w:r>
        <w:rPr>
          <w:rFonts w:ascii="Cambria" w:hAnsi="Cambria" w:eastAsia="Cambria" w:cs="Cambria"/>
          <w:b/>
          <w:i w:val="0"/>
          <w:color w:val="1F6F5C"/>
          <w:sz w:val="28"/>
        </w:rPr>
        <w:t>B. Deskripsi</w:t>
      </w:r>
    </w:p>
    <w:p>
      <w:pPr>
        <w:spacing w:after="160" w:line="276" w:lineRule="auto"/>
      </w:pPr>
      <w:r>
        <w:rPr>
          <w:rFonts w:ascii="Calibri" w:hAnsi="Calibri" w:eastAsia="Calibri" w:cs="Calibri"/>
          <w:b w:val="0"/>
          <w:i w:val="0"/>
          <w:color w:val="17251F"/>
          <w:sz w:val="22"/>
        </w:rPr>
        <w:t>Obat yang tampak normal secara fisik bisa saja telah kehilangan efikasinya akibat paparan panas berkepanjangan — kegagalan yang tidak terlihat inilah yang paling berbahaya, karena baik dokter kloter maupun jemaah tidak menyadarinya sampai efek terapi gagal muncul pada saat dibutuhkan. Modul ini penting karena musim haji sering bertepatan dengan puncak musim panas, dan rutinitas kecil yang konsisten dalam menyimpan serta memeriksa obat jauh lebih efektif dibandingkan penanganan reaktif setelah obat sudah rusak.</w:t>
      </w:r>
    </w:p>
    <w:p>
      <w:pPr>
        <w:spacing w:before="320" w:after="120"/>
        <w:pBdr>
          <w:bottom w:val="single" w:sz="4" w:space="4" w:color="1F6F5C"/>
        </w:pBdr>
      </w:pPr>
      <w:r>
        <w:rPr>
          <w:rFonts w:ascii="Cambria" w:hAnsi="Cambria" w:eastAsia="Cambria" w:cs="Cambria"/>
          <w:b/>
          <w:i w:val="0"/>
          <w:color w:val="1F6F5C"/>
          <w:sz w:val="28"/>
        </w:rPr>
        <w:t>C. Materi Inti</w:t>
      </w:r>
    </w:p>
    <w:p>
      <w:pPr>
        <w:spacing w:before="200" w:after="80"/>
      </w:pPr>
      <w:r>
        <w:rPr>
          <w:rFonts w:ascii="Cambria" w:hAnsi="Cambria" w:eastAsia="Cambria" w:cs="Cambria"/>
          <w:b/>
          <w:i w:val="0"/>
          <w:color w:val="123D33"/>
          <w:sz w:val="24"/>
        </w:rPr>
        <w:t>C.1 Tantangan Rantai Dingin dan Stabilitas Obat di Iklim Ekstrem</w:t>
      </w:r>
    </w:p>
    <w:p>
      <w:pPr>
        <w:spacing w:after="160" w:line="276" w:lineRule="auto"/>
      </w:pPr>
      <w:r>
        <w:rPr>
          <w:rFonts w:ascii="Calibri" w:hAnsi="Calibri" w:eastAsia="Calibri" w:cs="Calibri"/>
          <w:b w:val="0"/>
          <w:i w:val="0"/>
          <w:color w:val="17251F"/>
          <w:sz w:val="22"/>
        </w:rPr>
        <w:t>Suhu lingkungan di area pemondokan dan tenda kesehatan kloter dapat jauh melampaui rentang suhu penyimpanan standar banyak obat, terutama pada musim haji yang bertepatan dengan puncak musim panas. Obat-obat tertentu, khususnya insulin dan beberapa jenis obat biologis, sangat sensitif terhadap paparan suhu tinggi berkepanjangan dan dapat kehilangan efikasi tanpa perubahan tampilan fisik yang terlihat jelas.</w:t>
      </w:r>
    </w:p>
    <w:p>
      <w:pPr>
        <w:spacing w:before="200" w:after="80"/>
      </w:pPr>
      <w:r>
        <w:rPr>
          <w:rFonts w:ascii="Cambria" w:hAnsi="Cambria" w:eastAsia="Cambria" w:cs="Cambria"/>
          <w:b/>
          <w:i w:val="0"/>
          <w:color w:val="123D33"/>
          <w:sz w:val="24"/>
        </w:rPr>
        <w:t>C.2 Prinsip Penyimpanan Berdasarkan Kategori Obat</w:t>
      </w:r>
    </w:p>
    <w:tbl>
      <w:tblPr>
        <w:tblW w:type="auto" w:w="0"/>
        <w:jc w:val="center"/>
        <w:tblLayout w:type="fixed"/>
        <w:tblLook w:firstColumn="1" w:firstRow="1" w:lastColumn="0" w:lastRow="0" w:noHBand="0" w:noVBand="1" w:val="04A0"/>
      </w:tblPr>
      <w:tblGrid>
        <w:gridCol w:w="3024"/>
        <w:gridCol w:w="3024"/>
        <w:gridCol w:w="3024"/>
      </w:tblGrid>
      <w:tr>
        <w:tc>
          <w:tcPr>
            <w:tcW w:type="dxa" w:w="2551"/>
            <w:shd w:val="clear" w:color="auto" w:fill="1F6F5C"/>
            <w:tcBorders>
              <w:top w:val="single" w:sz="4" w:space="0" w:color="E1E9E5"/>
              <w:left w:val="single" w:sz="4" w:space="0" w:color="E1E9E5"/>
              <w:bottom w:val="single" w:sz="4" w:space="0" w:color="E1E9E5"/>
              <w:right w:val="single" w:sz="4" w:space="0" w:color="E1E9E5"/>
            </w:tcBorders>
          </w:tcPr>
          <w:p>
            <w:r/>
            <w:r>
              <w:rPr>
                <w:rFonts w:ascii="Cambria" w:hAnsi="Cambria" w:eastAsia="Cambria" w:cs="Cambria"/>
                <w:b/>
                <w:i w:val="0"/>
                <w:color w:val="FFFFFF"/>
                <w:sz w:val="21"/>
              </w:rPr>
              <w:t>Kategori</w:t>
            </w:r>
          </w:p>
        </w:tc>
        <w:tc>
          <w:tcPr>
            <w:tcW w:type="dxa" w:w="3685"/>
            <w:shd w:val="clear" w:color="auto" w:fill="1F6F5C"/>
            <w:tcBorders>
              <w:top w:val="single" w:sz="4" w:space="0" w:color="E1E9E5"/>
              <w:left w:val="single" w:sz="4" w:space="0" w:color="E1E9E5"/>
              <w:bottom w:val="single" w:sz="4" w:space="0" w:color="E1E9E5"/>
              <w:right w:val="single" w:sz="4" w:space="0" w:color="E1E9E5"/>
            </w:tcBorders>
          </w:tcPr>
          <w:p>
            <w:r/>
            <w:r>
              <w:rPr>
                <w:rFonts w:ascii="Cambria" w:hAnsi="Cambria" w:eastAsia="Cambria" w:cs="Cambria"/>
                <w:b/>
                <w:i w:val="0"/>
                <w:color w:val="FFFFFF"/>
                <w:sz w:val="21"/>
              </w:rPr>
              <w:t>Sensitivitas Suhu</w:t>
            </w:r>
          </w:p>
        </w:tc>
        <w:tc>
          <w:tcPr>
            <w:tcW w:type="dxa" w:w="3118"/>
            <w:shd w:val="clear" w:color="auto" w:fill="1F6F5C"/>
            <w:tcBorders>
              <w:top w:val="single" w:sz="4" w:space="0" w:color="E1E9E5"/>
              <w:left w:val="single" w:sz="4" w:space="0" w:color="E1E9E5"/>
              <w:bottom w:val="single" w:sz="4" w:space="0" w:color="E1E9E5"/>
              <w:right w:val="single" w:sz="4" w:space="0" w:color="E1E9E5"/>
            </w:tcBorders>
          </w:tcPr>
          <w:p>
            <w:r/>
            <w:r>
              <w:rPr>
                <w:rFonts w:ascii="Cambria" w:hAnsi="Cambria" w:eastAsia="Cambria" w:cs="Cambria"/>
                <w:b/>
                <w:i w:val="0"/>
                <w:color w:val="FFFFFF"/>
                <w:sz w:val="21"/>
              </w:rPr>
              <w:t>Strategi Penyimpanan Lapangan</w:t>
            </w:r>
          </w:p>
        </w:tc>
      </w:tr>
      <w:tr>
        <w:tc>
          <w:tcPr>
            <w:tcW w:type="dxa" w:w="2551"/>
            <w:shd w:val="clear" w:color="auto" w:fill="FFFFFF"/>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Insulin</w:t>
            </w:r>
          </w:p>
        </w:tc>
        <w:tc>
          <w:tcPr>
            <w:tcW w:type="dxa" w:w="3685"/>
            <w:shd w:val="clear" w:color="auto" w:fill="FFFFFF"/>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Tinggi — perlu suhu sejuk stabil</w:t>
            </w:r>
          </w:p>
        </w:tc>
        <w:tc>
          <w:tcPr>
            <w:tcW w:type="dxa" w:w="3118"/>
            <w:shd w:val="clear" w:color="auto" w:fill="FFFFFF"/>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Wadah pendingin portabel, hindari pembekuan langsung</w:t>
            </w:r>
          </w:p>
        </w:tc>
      </w:tr>
      <w:tr>
        <w:tc>
          <w:tcPr>
            <w:tcW w:type="dxa" w:w="2551"/>
            <w:shd w:val="clear" w:color="auto" w:fill="E8F2EE"/>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Tablet/kapsul oral umum</w:t>
            </w:r>
          </w:p>
        </w:tc>
        <w:tc>
          <w:tcPr>
            <w:tcW w:type="dxa" w:w="3685"/>
            <w:shd w:val="clear" w:color="auto" w:fill="E8F2EE"/>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Sedang — hindari suhu sangat tinggi/lembap</w:t>
            </w:r>
          </w:p>
        </w:tc>
        <w:tc>
          <w:tcPr>
            <w:tcW w:type="dxa" w:w="3118"/>
            <w:shd w:val="clear" w:color="auto" w:fill="E8F2EE"/>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Simpan di tempat teduh, wadah tertutup rapat</w:t>
            </w:r>
          </w:p>
        </w:tc>
      </w:tr>
      <w:tr>
        <w:tc>
          <w:tcPr>
            <w:tcW w:type="dxa" w:w="2551"/>
            <w:shd w:val="clear" w:color="auto" w:fill="FFFFFF"/>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Cairan infus</w:t>
            </w:r>
          </w:p>
        </w:tc>
        <w:tc>
          <w:tcPr>
            <w:tcW w:type="dxa" w:w="3685"/>
            <w:shd w:val="clear" w:color="auto" w:fill="FFFFFF"/>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Sedang</w:t>
            </w:r>
          </w:p>
        </w:tc>
        <w:tc>
          <w:tcPr>
            <w:tcW w:type="dxa" w:w="3118"/>
            <w:shd w:val="clear" w:color="auto" w:fill="FFFFFF"/>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Hindari paparan sinar matahari langsung, simpan sejuk</w:t>
            </w:r>
          </w:p>
        </w:tc>
      </w:tr>
      <w:tr>
        <w:tc>
          <w:tcPr>
            <w:tcW w:type="dxa" w:w="2551"/>
            <w:shd w:val="clear" w:color="auto" w:fill="E8F2EE"/>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Obat emergensi (adrenalin, dll.)</w:t>
            </w:r>
          </w:p>
        </w:tc>
        <w:tc>
          <w:tcPr>
            <w:tcW w:type="dxa" w:w="3685"/>
            <w:shd w:val="clear" w:color="auto" w:fill="E8F2EE"/>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Tinggi</w:t>
            </w:r>
          </w:p>
        </w:tc>
        <w:tc>
          <w:tcPr>
            <w:tcW w:type="dxa" w:w="3118"/>
            <w:shd w:val="clear" w:color="auto" w:fill="E8F2EE"/>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Wadah pendingin, cek kelayakan lebih sering</w:t>
            </w:r>
          </w:p>
        </w:tc>
      </w:tr>
    </w:tbl>
    <w:p>
      <w:pPr>
        <w:spacing w:after="80"/>
      </w:pPr>
    </w:p>
    <w:p>
      <w:pPr>
        <w:spacing w:after="160" w:line="276" w:lineRule="auto"/>
      </w:pPr>
      <w:r>
        <w:rPr>
          <w:rFonts w:ascii="Calibri" w:hAnsi="Calibri" w:eastAsia="Calibri" w:cs="Calibri"/>
          <w:b w:val="0"/>
          <w:i/>
          <w:color w:val="17251F"/>
          <w:sz w:val="22"/>
        </w:rPr>
        <w:t>Rentang suhu spesifik dan durasi maksimal paparan mengikuti [PROTOKOL: rujuk pedoman resmi stabilitas obat/informasi produk resmi yang berlaku].</w:t>
      </w:r>
    </w:p>
    <w:p>
      <w:pPr>
        <w:spacing w:before="200" w:after="80"/>
      </w:pPr>
      <w:r>
        <w:rPr>
          <w:rFonts w:ascii="Cambria" w:hAnsi="Cambria" w:eastAsia="Cambria" w:cs="Cambria"/>
          <w:b/>
          <w:i w:val="0"/>
          <w:color w:val="123D33"/>
          <w:sz w:val="24"/>
        </w:rPr>
        <w:t>C.3 Algoritma Pengelolaan Obat Sensitif Suhu</w:t>
      </w:r>
    </w:p>
    <w:tbl>
      <w:tblPr>
        <w:tblW w:type="auto" w:w="0"/>
        <w:jc w:val="center"/>
        <w:tblLayout w:type="autofit"/>
        <w:tblLook w:firstColumn="1" w:firstRow="1" w:lastColumn="0" w:lastRow="0" w:noHBand="0" w:noVBand="1" w:val="04A0"/>
      </w:tblPr>
      <w:tblGrid>
        <w:gridCol w:w="9072"/>
      </w:tblGrid>
      <w:tr>
        <w:tc>
          <w:tcPr>
            <w:tcW w:type="dxa" w:w="9072"/>
            <w:shd w:val="clear" w:color="auto" w:fill="E8F2EE"/>
            <w:tcBorders>
              <w:left w:val="single" w:sz="18" w:color="1F6F5C"/>
              <w:top w:val="nil"/>
              <w:bottom w:val="nil"/>
              <w:right w:val="nil"/>
            </w:tcBorders>
            <w:tcMar>
              <w:top w:w="120" w:type="dxa"/>
              <w:bottom w:w="120" w:type="dxa"/>
              <w:left w:w="200" w:type="dxa"/>
              <w:right w:w="200" w:type="dxa"/>
            </w:tcMar>
          </w:tcPr>
          <w:p>
            <w:r/>
            <w:r>
              <w:rPr>
                <w:rFonts w:ascii="Cambria" w:hAnsi="Cambria" w:eastAsia="Cambria" w:cs="Cambria"/>
                <w:b/>
                <w:i w:val="0"/>
                <w:color w:val="123D33"/>
                <w:sz w:val="22"/>
              </w:rPr>
              <w:t>Algoritma C.3</w:t>
            </w:r>
          </w:p>
          <w:p>
            <w:r>
              <w:rPr>
                <w:rFonts w:ascii="Calibri" w:hAnsi="Calibri" w:eastAsia="Calibri" w:cs="Calibri"/>
                <w:b w:val="0"/>
                <w:i w:val="0"/>
                <w:color w:val="17251F"/>
                <w:sz w:val="21"/>
              </w:rPr>
              <w:t>1) Identifikasi seluruh obat sensitif suhu dalam kit kloter dan milik jemaah yang perlu penyimpanan khusus → 2) Siapkan wadah pendingin portabel dengan pemantauan suhu berkala bila memungkinkan → 3) Edukasi jemaah pemilik obat sensitif suhu mengenai cara penyimpanan mandiri yang benar selama beraktivitas di luar pemondokan → 4) Lakukan pemeriksaan visual berkala terhadap tanda kerusakan obat (perubahan warna, kekeruhan, endapan tidak normal) → 5) Ganti/buang obat yang diragukan kelayakannya dan dokumentasikan penggantian dari stok cadangan.</w:t>
            </w:r>
          </w:p>
        </w:tc>
      </w:tr>
    </w:tbl>
    <w:p>
      <w:pPr>
        <w:spacing w:after="80"/>
      </w:pPr>
    </w:p>
    <w:p>
      <w:pPr>
        <w:spacing w:before="200" w:after="80"/>
      </w:pPr>
      <w:r>
        <w:rPr>
          <w:rFonts w:ascii="Cambria" w:hAnsi="Cambria" w:eastAsia="Cambria" w:cs="Cambria"/>
          <w:b/>
          <w:i w:val="0"/>
          <w:color w:val="123D33"/>
          <w:sz w:val="24"/>
        </w:rPr>
        <w:t>C.4 Edukasi Jemaah tentang Penyimpanan Obat Pribadi</w:t>
      </w:r>
    </w:p>
    <w:p>
      <w:pPr>
        <w:spacing w:after="160" w:line="276" w:lineRule="auto"/>
      </w:pPr>
      <w:r>
        <w:rPr>
          <w:rFonts w:ascii="Calibri" w:hAnsi="Calibri" w:eastAsia="Calibri" w:cs="Calibri"/>
          <w:b w:val="0"/>
          <w:i w:val="0"/>
          <w:color w:val="17251F"/>
          <w:sz w:val="22"/>
        </w:rPr>
        <w:t>Banyak jemaah tidak menyadari bahwa menyimpan obat di dalam tas yang terpapar sinar matahari langsung dalam kendaraan, atau dibawa dalam kantong pakaian saat aktivitas luar ruangan, dapat merusak obat secara signifikan. Edukasi sederhana mengenai penyimpanan obat pribadi — menggunakan tas kecil berinsulasi, menghindari penyimpanan di saku pakaian yang terpapar panas tubuh dan matahari langsung — dapat mencegah kegagalan terapi yang sebenarnya dapat dihindari.</w:t>
      </w:r>
    </w:p>
    <w:p>
      <w:pPr>
        <w:spacing w:before="200" w:after="80"/>
      </w:pPr>
      <w:r>
        <w:rPr>
          <w:rFonts w:ascii="Cambria" w:hAnsi="Cambria" w:eastAsia="Cambria" w:cs="Cambria"/>
          <w:b/>
          <w:i w:val="0"/>
          <w:color w:val="123D33"/>
          <w:sz w:val="24"/>
        </w:rPr>
        <w:t>C.5 Dokumentasi dan Pelacakan Stok Obat Kloter</w:t>
      </w:r>
    </w:p>
    <w:p>
      <w:pPr>
        <w:spacing w:after="160" w:line="276" w:lineRule="auto"/>
      </w:pPr>
      <w:r>
        <w:rPr>
          <w:rFonts w:ascii="Calibri" w:hAnsi="Calibri" w:eastAsia="Calibri" w:cs="Calibri"/>
          <w:b w:val="0"/>
          <w:i w:val="0"/>
          <w:color w:val="17251F"/>
          <w:sz w:val="22"/>
        </w:rPr>
        <w:t>Selain penyimpanan fisik, dokter kloter perlu menjaga sistem pelacakan stok obat yang sederhana namun konsisten — mencatat jumlah masuk, terpakai, dan sisa setiap kategori obat penting, terutama obat emergensi — untuk memastikan ketersediaan obat kritis tidak habis tanpa disadari pada saat dibutuhkan.</w:t>
      </w:r>
    </w:p>
    <w:p>
      <w:pPr>
        <w:spacing w:before="200" w:after="80"/>
      </w:pPr>
      <w:r>
        <w:rPr>
          <w:rFonts w:ascii="Cambria" w:hAnsi="Cambria" w:eastAsia="Cambria" w:cs="Cambria"/>
          <w:b/>
          <w:i w:val="0"/>
          <w:color w:val="123D33"/>
          <w:sz w:val="24"/>
        </w:rPr>
        <w:t>C.6 Menangani Kerusakan Obat di Luar Kendali Dokter Kloter</w:t>
      </w:r>
    </w:p>
    <w:p>
      <w:pPr>
        <w:spacing w:after="160" w:line="276" w:lineRule="auto"/>
      </w:pPr>
      <w:r>
        <w:rPr>
          <w:rFonts w:ascii="Calibri" w:hAnsi="Calibri" w:eastAsia="Calibri" w:cs="Calibri"/>
          <w:b w:val="0"/>
          <w:i w:val="0"/>
          <w:color w:val="17251F"/>
          <w:sz w:val="22"/>
        </w:rPr>
        <w:t>Meski seluruh langkah pencegahan telah diterapkan, situasi di luar kendali seperti kegagalan alat pendingin portabel atau cuaca ekstrem yang melampaui perkiraan dapat tetap menyebabkan kerusakan obat. Dokter kloter perlu memiliki rencana kontingensi yang jelas: mengetahui sumber alternatif terdekat (KKHI Sektor atau kloter lain) untuk memperoleh pengganti obat dengan cepat, serta memprioritaskan penggunaan obat tersisa untuk kasus yang paling membutuhkan. Kerusakan obat yang berulang akibat masalah sistemik perlu dilaporkan sebagai masukan perbaikan logistik ke depan, bukan hanya ditangani sebagai insiden terisolasi setiap kali terjadi.</w:t>
      </w:r>
    </w:p>
    <w:p>
      <w:pPr>
        <w:spacing w:before="320" w:after="120"/>
        <w:pBdr>
          <w:bottom w:val="single" w:sz="4" w:space="4" w:color="1F6F5C"/>
        </w:pBdr>
      </w:pPr>
      <w:r>
        <w:rPr>
          <w:rFonts w:ascii="Cambria" w:hAnsi="Cambria" w:eastAsia="Cambria" w:cs="Cambria"/>
          <w:b/>
          <w:i w:val="0"/>
          <w:color w:val="1F6F5C"/>
          <w:sz w:val="28"/>
        </w:rPr>
        <w:t>D. Ilustrasi Kasus (Vignette)</w:t>
      </w:r>
    </w:p>
    <w:p>
      <w:pPr>
        <w:spacing w:after="160" w:line="276" w:lineRule="auto"/>
      </w:pPr>
      <w:r>
        <w:rPr>
          <w:rFonts w:ascii="Calibri" w:hAnsi="Calibri" w:eastAsia="Calibri" w:cs="Calibri"/>
          <w:b w:val="0"/>
          <w:i w:val="0"/>
          <w:color w:val="17251F"/>
          <w:sz w:val="22"/>
        </w:rPr>
        <w:t>Wadah pendingin portabel milik satu kloter mengalami kerusakan di tengah cuaca yang sangat panas, mengancam kualitas stok insulin yang tersimpan di dalamnya. Dokter kloter segera menghubungi KKHI Sektor untuk meminjam wadah pendingin cadangan sambil mengevakuasi obat-obat sensitif ke lokasi yang lebih sejuk, mencegah kerugian stok yang lebih besar. Ia juga mencatat kejadian ini sebagai masukan bagi laporan akhir musim, mengingat kejadian serupa pernah dilaporkan kloter lain — indikasi bahwa perlu ada perbaikan kualitas wadah pendingin untuk fellowship angkatan berikutnya.</w:t>
      </w:r>
    </w:p>
    <w:p>
      <w:pPr>
        <w:spacing w:before="320" w:after="120"/>
        <w:pBdr>
          <w:bottom w:val="single" w:sz="4" w:space="4" w:color="1F6F5C"/>
        </w:pBdr>
      </w:pPr>
      <w:r>
        <w:rPr>
          <w:rFonts w:ascii="Cambria" w:hAnsi="Cambria" w:eastAsia="Cambria" w:cs="Cambria"/>
          <w:b/>
          <w:i w:val="0"/>
          <w:color w:val="1F6F5C"/>
          <w:sz w:val="28"/>
        </w:rPr>
        <w:t>E. Referensi</w:t>
      </w:r>
    </w:p>
    <w:p>
      <w:pPr>
        <w:spacing w:after="80" w:line="276" w:lineRule="auto"/>
      </w:pPr>
      <w:r>
        <w:rPr>
          <w:rFonts w:ascii="Calibri" w:hAnsi="Calibri" w:eastAsia="Calibri" w:cs="Calibri"/>
          <w:b w:val="0"/>
          <w:i w:val="0"/>
          <w:color w:val="17251F"/>
          <w:sz w:val="22"/>
        </w:rPr>
        <w:t>1. Rujukan spesifik untuk topik "pedoman WHO rantai dingin edisi/tahun spesifik yang relevan untuk obat non-vaksin" [DASAR TIDAK TERVERIFIKASI SECARA DARING — AI tidak menemukan dokumen resmi spesifik ini melalui pencarian web dan TIDAK mengklaim dokumen ini ada. Mohon konfirmasi judul, penerbit, tahun, dan tautan resminya; bila Anda dapat mengunggah/menunjukkan sumbernya, referensi ini akan diperbarui.]</w:t>
      </w:r>
    </w:p>
    <w:p>
      <w:pPr>
        <w:spacing w:after="80" w:line="276" w:lineRule="auto"/>
      </w:pPr>
      <w:r>
        <w:rPr>
          <w:rFonts w:ascii="Calibri" w:hAnsi="Calibri" w:eastAsia="Calibri" w:cs="Calibri"/>
          <w:b w:val="0"/>
          <w:i w:val="0"/>
          <w:color w:val="17251F"/>
          <w:sz w:val="22"/>
        </w:rPr>
        <w:t>2. Buku Tematik Fellowship Kedokteran Haji (B3) — Bab 4. Perpustakaan Digital ABBA.</w:t>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Calibri" w:hAnsi="Calibri" w:eastAsia="Calibri" w:cs="Calibri"/>
        <w:b w:val="0"/>
        <w:i w:val="0"/>
        <w:color w:val="526059"/>
        <w:sz w:val="18"/>
      </w:rPr>
      <w:fldChar w:fldCharType="begin"/>
      <w:instrText xml:space="preserve">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Cambria" w:hAnsi="Cambria" w:eastAsia="Cambria" w:cs="Cambria"/>
        <w:b w:val="0"/>
        <w:i/>
        <w:color w:val="526059"/>
        <w:sz w:val="18"/>
      </w:rPr>
      <w:t>Ekosistem Pendidikan Kedokteran Haji</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eastAsia="Calibri"/>
      <w:color w:val="17251F"/>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