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MK05 — Manajemen Komorbid pada Jemaah Lanjut Usia</w:t>
      </w:r>
    </w:p>
    <w:p>
      <w:pPr>
        <w:pBdr>
          <w:bottom w:val="single" w:color="B6862C" w:sz="12" w:space="6"/>
        </w:pBdr>
        <w:spacing w:after="300"/>
      </w:pPr>
      <w:r>
        <w:rPr>
          <w:rFonts w:ascii="Cambria" w:cs="Cambria" w:eastAsia="Cambria" w:hAnsi="Cambria"/>
          <w:b/>
          <w:bCs/>
          <w:color w:val="123D33"/>
          <w:sz w:val="40"/>
          <w:szCs w:val="40"/>
        </w:rPr>
        <w:t xml:space="preserve">Modul 4: Penyakit Jantung Koroner dan Gagal Jantung pada Jemaah Lanjut Usia</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beban penyakit kardiovaskular sebagai kontributor utama kegawatan berat dan kematian selama musim haji.</w:t>
      </w:r>
    </w:p>
    <w:p>
      <w:pPr>
        <w:pStyle w:val="ListParagraph"/>
        <w:numPr>
          <w:ilvl w:val="0"/>
          <w:numId w:val="1"/>
        </w:numPr>
        <w:spacing w:after="80"/>
      </w:pPr>
      <w:r>
        <w:rPr>
          <w:rFonts w:ascii="Calibri" w:cs="Calibri" w:eastAsia="Calibri" w:hAnsi="Calibri"/>
          <w:color w:val="17251F"/>
          <w:sz w:val="22"/>
          <w:szCs w:val="22"/>
        </w:rPr>
        <w:t xml:space="preserve">Menjelaskan tanda peringatan dini perburukan kardiovaskular pada jemaah dengan penyakit jantung koroner/gagal jantung stabil.</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Menunjukkan empati dalam menyeimbangkan keinginan spiritual jemaah untuk beribadah penuh dengan keamanan klinis.</w:t>
      </w:r>
    </w:p>
    <w:p>
      <w:pPr>
        <w:pStyle w:val="ListParagraph"/>
        <w:numPr>
          <w:ilvl w:val="0"/>
          <w:numId w:val="1"/>
        </w:numPr>
        <w:spacing w:after="80"/>
      </w:pPr>
      <w:r>
        <w:rPr>
          <w:rFonts w:ascii="Calibri" w:cs="Calibri" w:eastAsia="Calibri" w:hAnsi="Calibri"/>
          <w:color w:val="17251F"/>
          <w:sz w:val="22"/>
          <w:szCs w:val="22"/>
        </w:rPr>
        <w:t xml:space="preserve">Menghargai pentingnya rencana kontingensi tertulis sebagai bentuk kesiapsiagaan, bukan formalitas administratif semata.</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Menerapkan algoritma pemantauan terjadwal jemaah dengan riwayat gagal jantung.</w:t>
      </w:r>
    </w:p>
    <w:p>
      <w:pPr>
        <w:pStyle w:val="ListParagraph"/>
        <w:numPr>
          <w:ilvl w:val="0"/>
          <w:numId w:val="1"/>
        </w:numPr>
        <w:spacing w:after="80"/>
      </w:pPr>
      <w:r>
        <w:rPr>
          <w:rFonts w:ascii="Calibri" w:cs="Calibri" w:eastAsia="Calibri" w:hAnsi="Calibri"/>
          <w:color w:val="17251F"/>
          <w:sz w:val="22"/>
          <w:szCs w:val="22"/>
        </w:rPr>
        <w:t xml:space="preserve">Mendemonstrasikan penyusunan rencana kontingensi bagi jemaah kardiovaskular berisiko tinggi.</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Status 'stabil' pada jemaah dengan penyakit jantung tidak berarti bebas risiko sepanjang musim haji — perubahan ritme aktivitas yang tampak kecil bisa memicu dekompensasi yang serius bila tidak dipantau secara berkelanjutan.</w:t>
      </w:r>
    </w:p>
    <w:p>
      <w:pPr>
        <w:spacing w:after="140" w:line="300"/>
      </w:pPr>
      <w:r>
        <w:rPr>
          <w:rFonts w:ascii="Calibri" w:cs="Calibri" w:eastAsia="Calibri" w:hAnsi="Calibri"/>
          <w:i w:val="false"/>
          <w:iCs w:val="false"/>
          <w:color w:val="17251F"/>
          <w:sz w:val="22"/>
          <w:szCs w:val="22"/>
        </w:rPr>
        <w:t xml:space="preserve">Topik ini penting karena data menunjukkan penyakit kardiovaskular sebagai penyebab kematian dan rawat ICU terbanyak pada jemaah haji, sehingga dokter kloter perlu bergeser dari sekadar menunggu kegawatan akut menuju pemantauan proaktif tanda peringatan dini.</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Beban Penyakit Kardiovaskular pada Populasi Lansia Haji</w:t>
      </w:r>
    </w:p>
    <w:p>
      <w:pPr>
        <w:spacing w:after="140" w:line="300"/>
      </w:pPr>
      <w:r>
        <w:rPr>
          <w:rFonts w:ascii="Calibri" w:cs="Calibri" w:eastAsia="Calibri" w:hAnsi="Calibri"/>
          <w:i w:val="false"/>
          <w:iCs w:val="false"/>
          <w:color w:val="17251F"/>
          <w:sz w:val="22"/>
          <w:szCs w:val="22"/>
        </w:rPr>
        <w:t xml:space="preserve">Penyakit jantung koroner dan gagal jantung merupakan kontributor utama kasus kegawatan berat dan kematian selama musim haji, mengingat prevalensinya yang tinggi pada populasi lansia Indonesia yang berangkat haji. Kajian literatur kesehatan haji melaporkan penyakit kardiovaskular sebagai penyebab kematian dan proporsi rawat ICU terbesar di antara seluruh penyebab pada jemaah.</w:t>
      </w:r>
    </w:p>
    <w:p>
      <w:pPr>
        <w:spacing w:after="90" w:before="200"/>
      </w:pPr>
      <w:r>
        <w:rPr>
          <w:rFonts w:ascii="Cambria" w:cs="Cambria" w:eastAsia="Cambria" w:hAnsi="Cambria"/>
          <w:b/>
          <w:bCs/>
          <w:color w:val="123D33"/>
          <w:sz w:val="23"/>
          <w:szCs w:val="23"/>
        </w:rPr>
        <w:t xml:space="preserve">2. Prinsip Manajemen Penyakit Jantung Koroner Stabil Selama Ibadah</w:t>
      </w:r>
    </w:p>
    <w:p>
      <w:pPr>
        <w:spacing w:after="140" w:line="300"/>
      </w:pPr>
      <w:r>
        <w:rPr>
          <w:rFonts w:ascii="Calibri" w:cs="Calibri" w:eastAsia="Calibri" w:hAnsi="Calibri"/>
          <w:i w:val="false"/>
          <w:iCs w:val="false"/>
          <w:color w:val="17251F"/>
          <w:sz w:val="22"/>
          <w:szCs w:val="22"/>
        </w:rPr>
        <w:t xml:space="preserve">Jemaah dengan penyakit jantung koroner stabil yang telah dinyatakan istithaah dengan pendampingan tetap memerlukan penyesuaian ritme aktivitas: menghindari aktivitas fisik mendadak intensitas tinggi tanpa pemanasan bertahap, menjaga kepatuhan obat antiplatelet dan obat jantung lainnya secara ketat, dan mengenali gejala angina yang muncul kembali sebagai tanda perlunya istirahat segera.</w:t>
      </w:r>
    </w:p>
    <w:p>
      <w:pPr>
        <w:spacing w:after="90" w:before="200"/>
      </w:pPr>
      <w:r>
        <w:rPr>
          <w:rFonts w:ascii="Cambria" w:cs="Cambria" w:eastAsia="Cambria" w:hAnsi="Cambria"/>
          <w:b/>
          <w:bCs/>
          <w:color w:val="123D33"/>
          <w:sz w:val="23"/>
          <w:szCs w:val="23"/>
        </w:rPr>
        <w:t xml:space="preserve">3. Algoritma Pemantauan Jemaah dengan Riwayat Gagal Jantung</w:t>
      </w:r>
    </w:p>
    <w:p>
      <w:pPr>
        <w:pStyle w:val="ListParagraph"/>
        <w:numPr>
          <w:ilvl w:val="0"/>
          <w:numId w:val="1"/>
        </w:numPr>
        <w:spacing w:after="80"/>
      </w:pPr>
      <w:r>
        <w:rPr>
          <w:rFonts w:ascii="Calibri" w:cs="Calibri" w:eastAsia="Calibri" w:hAnsi="Calibri"/>
          <w:color w:val="17251F"/>
          <w:sz w:val="22"/>
          <w:szCs w:val="22"/>
        </w:rPr>
        <w:t xml:space="preserve">Identifikasi jemaah dengan riwayat gagal jantung dari manifest risiko dan tentukan jadwal pemantauan berkala.</w:t>
      </w:r>
    </w:p>
    <w:p>
      <w:pPr>
        <w:pStyle w:val="ListParagraph"/>
        <w:numPr>
          <w:ilvl w:val="0"/>
          <w:numId w:val="1"/>
        </w:numPr>
        <w:spacing w:after="80"/>
      </w:pPr>
      <w:r>
        <w:rPr>
          <w:rFonts w:ascii="Calibri" w:cs="Calibri" w:eastAsia="Calibri" w:hAnsi="Calibri"/>
          <w:color w:val="17251F"/>
          <w:sz w:val="22"/>
          <w:szCs w:val="22"/>
        </w:rPr>
        <w:t xml:space="preserve">Pantau tanda kongesti (sesak saat aktivitas ringan, edema tungkai, ortopnea) pada setiap kontak terjadwal.</w:t>
      </w:r>
    </w:p>
    <w:p>
      <w:pPr>
        <w:pStyle w:val="ListParagraph"/>
        <w:numPr>
          <w:ilvl w:val="0"/>
          <w:numId w:val="1"/>
        </w:numPr>
        <w:spacing w:after="80"/>
      </w:pPr>
      <w:r>
        <w:rPr>
          <w:rFonts w:ascii="Calibri" w:cs="Calibri" w:eastAsia="Calibri" w:hAnsi="Calibri"/>
          <w:color w:val="17251F"/>
          <w:sz w:val="22"/>
          <w:szCs w:val="22"/>
        </w:rPr>
        <w:t xml:space="preserve">Edukasi jemaah dan pendamping mengenai pembatasan asupan cairan/garam sesuai anjuran dokter yang merawat di Indonesia, tanpa mengubah anjuran secara sepihak.</w:t>
      </w:r>
    </w:p>
    <w:p>
      <w:pPr>
        <w:pStyle w:val="ListParagraph"/>
        <w:numPr>
          <w:ilvl w:val="0"/>
          <w:numId w:val="1"/>
        </w:numPr>
        <w:spacing w:after="80"/>
      </w:pPr>
      <w:r>
        <w:rPr>
          <w:rFonts w:ascii="Calibri" w:cs="Calibri" w:eastAsia="Calibri" w:hAnsi="Calibri"/>
          <w:color w:val="17251F"/>
          <w:sz w:val="22"/>
          <w:szCs w:val="22"/>
        </w:rPr>
        <w:t xml:space="preserve">Tanda perburukan (sesak memberat, edema bertambah, penurunan toleransi aktivitas signifikan) → evaluasi lebih lanjut, pertimbangkan rujukan awal sebelum dekompensasi akut.</w:t>
      </w:r>
    </w:p>
    <w:p>
      <w:pPr>
        <w:pStyle w:val="ListParagraph"/>
        <w:numPr>
          <w:ilvl w:val="0"/>
          <w:numId w:val="1"/>
        </w:numPr>
        <w:spacing w:after="80"/>
      </w:pPr>
      <w:r>
        <w:rPr>
          <w:rFonts w:ascii="Calibri" w:cs="Calibri" w:eastAsia="Calibri" w:hAnsi="Calibri"/>
          <w:color w:val="17251F"/>
          <w:sz w:val="22"/>
          <w:szCs w:val="22"/>
        </w:rPr>
        <w:t xml:space="preserve">Dokumentasikan tren gejala dari waktu ke waktu, bukan hanya penilaian satu waktu.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rPr>
          <w:tblHeader/>
        </w:trPr>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Tanda Peringatan Dini</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Kemungkinan Makna Klinis</w:t>
            </w:r>
          </w:p>
        </w:tc>
        <w:tc>
          <w:tcPr>
            <w:tcW w:type="dxa" w:w="3000"/>
            <w:shd w:fill="1F6F5C" w:val="clear"/>
            <w:tcMar>
              <w:top w:type="dxa" w:w="100"/>
              <w:left w:type="dxa" w:w="120"/>
              <w:bottom w:type="dxa" w:w="100"/>
              <w:right w:type="dxa" w:w="120"/>
            </w:tcMar>
            <w:vAlign w:val="center"/>
          </w:tcPr>
          <w:p>
            <w:r>
              <w:rPr>
                <w:rFonts w:ascii="Cambria" w:cs="Cambria" w:eastAsia="Cambria" w:hAnsi="Cambria"/>
                <w:b/>
                <w:bCs/>
                <w:color w:val="FFFFFF"/>
                <w:sz w:val="20"/>
                <w:szCs w:val="20"/>
              </w:rPr>
              <w:t xml:space="preserve">Tindakan yang Disarankan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Penurunan toleransi aktivitas bertahap</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Perburukan fungsi jantung</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Evaluasi lanjut, pertimbangkan pengurangan aktivitas</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Edema tungkai bertambah</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Retensi cairan, kongesti</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Evaluasi asupan cairan/garam, pertimbangkan rujukan</w:t>
            </w:r>
          </w:p>
        </w:tc>
      </w:tr>
      <w:tr>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Angina berulang meski istirahat cukup</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Ketidakstabilan penyakit koroner</w:t>
            </w:r>
          </w:p>
        </w:tc>
        <w:tc>
          <w:tcPr>
            <w:tcW w:type="dxa" w:w="3000"/>
            <w:shd w:fill="FFFFFF" w:val="clear"/>
            <w:tcMar>
              <w:top w:type="dxa" w:w="90"/>
              <w:left w:type="dxa" w:w="120"/>
              <w:bottom w:type="dxa" w:w="90"/>
              <w:right w:type="dxa" w:w="120"/>
            </w:tcMar>
          </w:tcPr>
          <w:p>
            <w:r>
              <w:rPr>
                <w:rFonts w:ascii="Calibri" w:cs="Calibri" w:eastAsia="Calibri" w:hAnsi="Calibri"/>
                <w:color w:val="17251F"/>
                <w:sz w:val="20"/>
                <w:szCs w:val="20"/>
              </w:rPr>
              <w:t xml:space="preserve">Rujuk untuk evaluasi lanjut</w:t>
            </w:r>
          </w:p>
        </w:tc>
      </w:tr>
      <w:tr>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Palpitasi baru/berubah pola</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Kemungkinan aritmia baru</w:t>
            </w:r>
          </w:p>
        </w:tc>
        <w:tc>
          <w:tcPr>
            <w:tcW w:type="dxa" w:w="3000"/>
            <w:shd w:fill="E8F2EE" w:val="clear"/>
            <w:tcMar>
              <w:top w:type="dxa" w:w="90"/>
              <w:left w:type="dxa" w:w="120"/>
              <w:bottom w:type="dxa" w:w="90"/>
              <w:right w:type="dxa" w:w="120"/>
            </w:tcMar>
          </w:tcPr>
          <w:p>
            <w:r>
              <w:rPr>
                <w:rFonts w:ascii="Calibri" w:cs="Calibri" w:eastAsia="Calibri" w:hAnsi="Calibri"/>
                <w:color w:val="17251F"/>
                <w:sz w:val="20"/>
                <w:szCs w:val="20"/>
              </w:rPr>
              <w:t xml:space="preserve">Rujuk untuk evaluasi lanjut</w:t>
            </w:r>
          </w:p>
        </w:tc>
      </w:tr>
    </w:tbl>
    <w:p>
      <w:pPr>
        <w:spacing w:after="90" w:before="200"/>
      </w:pPr>
      <w:r>
        <w:rPr>
          <w:rFonts w:ascii="Cambria" w:cs="Cambria" w:eastAsia="Cambria" w:hAnsi="Cambria"/>
          <w:b/>
          <w:bCs/>
          <w:color w:val="123D33"/>
          <w:sz w:val="23"/>
          <w:szCs w:val="23"/>
        </w:rPr>
        <w:t xml:space="preserve">4. Menyeimbangkan Keinginan Beribadah dengan Keamanan Klinis</w:t>
      </w:r>
    </w:p>
    <w:p>
      <w:pPr>
        <w:spacing w:after="140" w:line="300"/>
      </w:pPr>
      <w:r>
        <w:rPr>
          <w:rFonts w:ascii="Calibri" w:cs="Calibri" w:eastAsia="Calibri" w:hAnsi="Calibri"/>
          <w:i w:val="false"/>
          <w:iCs w:val="false"/>
          <w:color w:val="17251F"/>
          <w:sz w:val="22"/>
          <w:szCs w:val="22"/>
        </w:rPr>
        <w:t xml:space="preserve">Melarang tanpa memberi alternatif hanya akan mendorong jemaah memaksakan diri secara diam-diam. Dokter kloter perlu melakukan pendekatan komunikatif yang menghormati keinginan spiritual jemaah sambil menyampaikan risiko klinis secara jujur, menawarkan alternatif yang lebih aman (misalnya kursi roda untuk tawaf/sai) daripada sekadar melarang tanpa solusi.</w:t>
      </w:r>
    </w:p>
    <w:p>
      <w:pPr>
        <w:spacing w:after="90" w:before="200"/>
      </w:pPr>
      <w:r>
        <w:rPr>
          <w:rFonts w:ascii="Cambria" w:cs="Cambria" w:eastAsia="Cambria" w:hAnsi="Cambria"/>
          <w:b/>
          <w:bCs/>
          <w:color w:val="123D33"/>
          <w:sz w:val="23"/>
          <w:szCs w:val="23"/>
        </w:rPr>
        <w:t xml:space="preserve">5. Rencana Kontingensi bagi Jemaah Kardiovaskular Berisiko Tinggi</w:t>
      </w:r>
    </w:p>
    <w:p>
      <w:pPr>
        <w:spacing w:after="140" w:line="300"/>
      </w:pPr>
      <w:r>
        <w:rPr>
          <w:rFonts w:ascii="Calibri" w:cs="Calibri" w:eastAsia="Calibri" w:hAnsi="Calibri"/>
          <w:i w:val="false"/>
          <w:iCs w:val="false"/>
          <w:color w:val="17251F"/>
          <w:sz w:val="22"/>
          <w:szCs w:val="22"/>
        </w:rPr>
        <w:t xml:space="preserve">Bagi jemaah risiko tinggi, dokter kloter dianjurkan menyusun rencana kontingensi tertulis sejak awal — mencakup obat darurat yang perlu segera diberikan, ambang gejala yang menandakan perlunya rujukan segera, dan kontak keluarga yang perlu dihubungi. Rencana ini idealnya menjadi bagian dari case management individual (Modul 7) dan dikomunikasikan kepada jemaah serta pendampingnya.</w:t>
      </w:r>
    </w:p>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Seorang jemaah dengan riwayat gagal jantung yang terpantau setiap hari menunjukkan edema tungkai yang perlahan bertambah selama tiga hari berturut-turut, meski belum mengeluh sesak berat. Karena dipantau tren — bukan sekali penilaian — dokter kloter dapat mengevaluasi lebih awal sebelum kondisinya jatuh ke dekompensasi akut. Pada jemaah lain dengan riwayat gagal jantung berat yang memiliki rencana kontingensi tertulis mencantumkan tanda bahaya spesifik dan kontak darurat, ketika ia mulai menunjukkan sesak tidak biasa saat tawaf, pendampingnya yang telah memahami rencana ini segera menghubungi tim kesehatan tanpa perlu mencari tahu apa yang harus dilakukan di tengah situasi mendesak.</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McDonagh TA, Metra M, Adamo M, et al. 2023 focused update of the 2021 ESC guidelines for the diagnosis and treatment of acute and chronic heart failure. Eur Heart J. 2023;44(37):3627-3639. Tersedia di: https://www.escardio.org/guidelines/clinical-practice-guidelines/all-esc-practice-guidelines/focused-update-on-heart-failure/ (pembaruan penuh berikutnya dijadwalkan dipresentasikan pada Kongres ESC Agustus 2026, belum tersedia pada saat modul ini disusun)</w:t>
      </w:r>
    </w:p>
    <w:p>
      <w:pPr>
        <w:spacing w:after="100"/>
        <w:ind w:left="360" w:hanging="360"/>
      </w:pPr>
      <w:r>
        <w:rPr>
          <w:rFonts w:ascii="Calibri" w:cs="Calibri" w:eastAsia="Calibri" w:hAnsi="Calibri"/>
          <w:color w:val="17251F"/>
          <w:sz w:val="20"/>
          <w:szCs w:val="20"/>
        </w:rPr>
        <w:t xml:space="preserve">2. Pane M, et al. Cardiovascular disease as the leading cause of death and ICU admission among Hajj pilgrims. Dikutip dalam: Al-Tawfiq JA, Memish ZA. East Mediterr Health J. 2019;25(10).</w:t>
      </w:r>
    </w:p>
    <w:p>
      <w:pPr>
        <w:spacing w:after="100"/>
        <w:ind w:left="360" w:hanging="360"/>
      </w:pPr>
      <w:r>
        <w:rPr>
          <w:rFonts w:ascii="Calibri" w:cs="Calibri" w:eastAsia="Calibri" w:hAnsi="Calibri"/>
          <w:color w:val="17251F"/>
          <w:sz w:val="20"/>
          <w:szCs w:val="20"/>
        </w:rPr>
        <w:t xml:space="preserve">3.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MK05 · Modul 4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2026-07-15T19:33:05.553Z</dcterms:created>
  <dcterms:modified xsi:type="dcterms:W3CDTF">2026-07-15T19:33:05.553Z</dcterms:modified>
</cp:coreProperties>
</file>

<file path=docProps/custom.xml><?xml version="1.0" encoding="utf-8"?>
<Properties xmlns="http://schemas.openxmlformats.org/officeDocument/2006/custom-properties" xmlns:vt="http://schemas.openxmlformats.org/officeDocument/2006/docPropsVTypes"/>
</file>