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MK03 — Tatalaksana Kedaruratan Lapangan</w:t>
      </w:r>
    </w:p>
    <w:p>
      <w:pPr>
        <w:spacing w:before="0" w:after="280"/>
        <w:pBdr>
          <w:bottom w:val="single" w:sz="6" w:space="4" w:color="B6862C"/>
        </w:pBdr>
      </w:pPr>
      <w:r>
        <w:rPr>
          <w:rFonts w:ascii="Cambria" w:hAnsi="Cambria" w:eastAsia="Cambria" w:cs="Cambria"/>
          <w:b/>
          <w:i w:val="0"/>
          <w:color w:val="123D33"/>
          <w:sz w:val="40"/>
        </w:rPr>
        <w:t>Modul 5: Kegawatan Respirasi: Asma, PPOK Eksaserbasi, dan Sesak pada Cuaca Ekstrem</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faktor pencetus eksaserbasi asma/PPOK yang spesifik pada konteks lapangan haji.</w:t>
      </w:r>
    </w:p>
    <w:p>
      <w:pPr>
        <w:pStyle w:val="ListBullet"/>
        <w:spacing w:after="80"/>
      </w:pPr>
      <w:r>
        <w:rPr>
          <w:rFonts w:ascii="Calibri" w:hAnsi="Calibri" w:eastAsia="Calibri" w:cs="Calibri"/>
          <w:b w:val="0"/>
          <w:i w:val="0"/>
          <w:color w:val="17251F"/>
          <w:sz w:val="22"/>
        </w:rPr>
        <w:t>Menguraikan tanda bahaya derajat berat eksaserbasi yang memerlukan rujukan segera.</w:t>
      </w:r>
    </w:p>
    <w:p>
      <w:pPr>
        <w:pStyle w:val="ListBullet"/>
        <w:spacing w:after="80"/>
      </w:pPr>
      <w:r>
        <w:rPr>
          <w:rFonts w:ascii="Calibri" w:hAnsi="Calibri" w:eastAsia="Calibri" w:cs="Calibri"/>
          <w:b w:val="0"/>
          <w:i w:val="0"/>
          <w:color w:val="17251F"/>
          <w:sz w:val="22"/>
        </w:rPr>
        <w:t>Menjelaskan prinsip tatalaksana bertahap eksaserbasi ringan hingga berat di lapangan.</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proaktivitas edukasi preventif kepada jemaah dengan riwayat asma/PPOK sejak awal kontak.</w:t>
      </w:r>
    </w:p>
    <w:p>
      <w:pPr>
        <w:pStyle w:val="ListBullet"/>
        <w:spacing w:after="80"/>
      </w:pPr>
      <w:r>
        <w:rPr>
          <w:rFonts w:ascii="Calibri" w:hAnsi="Calibri" w:eastAsia="Calibri" w:cs="Calibri"/>
          <w:b w:val="0"/>
          <w:i w:val="0"/>
          <w:color w:val="17251F"/>
          <w:sz w:val="22"/>
        </w:rPr>
        <w:t>Menghargai pentingnya memastikan jemaah membawa dan mengetahui cara menggunakan inhaler pribadi.</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algoritma tatalaksana bertahap eksaserbasi asma/PPOK di lapangan.</w:t>
      </w:r>
    </w:p>
    <w:p>
      <w:pPr>
        <w:pStyle w:val="ListBullet"/>
        <w:spacing w:after="80"/>
      </w:pPr>
      <w:r>
        <w:rPr>
          <w:rFonts w:ascii="Calibri" w:hAnsi="Calibri" w:eastAsia="Calibri" w:cs="Calibri"/>
          <w:b w:val="0"/>
          <w:i w:val="0"/>
          <w:color w:val="17251F"/>
          <w:sz w:val="22"/>
        </w:rPr>
        <w:t>Mempraktikkan pemeriksaan teknik penggunaan inhaler jemaah dan mengoreksi kesalahan umum.</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Faktor pencetus yang unik pada konteks haji berarti pendekatan generik dari buku teks pernapasan saja tidak cukup — dokter kloter perlu memahami kombinasi spesifik pemicu yang dihadapi jemaah di lapangan. Modul ini penting karena kombinasi debu, suhu ekstrem, kepadatan udara, dan aktivitas fisik tinggi menciptakan lingkungan berisiko tinggi bagi jemaah dengan riwayat asma dan PPOK, populasi yang jumlahnya tidak sedikit di antara jemaah haji Indonesia.</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Faktor Pencetus Khas di Lapangan Haji</w:t>
      </w:r>
    </w:p>
    <w:p>
      <w:pPr>
        <w:spacing w:after="160" w:line="276" w:lineRule="auto"/>
      </w:pPr>
      <w:r>
        <w:rPr>
          <w:rFonts w:ascii="Calibri" w:hAnsi="Calibri" w:eastAsia="Calibri" w:cs="Calibri"/>
          <w:b w:val="0"/>
          <w:i w:val="0"/>
          <w:color w:val="17251F"/>
          <w:sz w:val="22"/>
        </w:rPr>
        <w:t>Debu dari aktivitas kerumunan besar, perubahan suhu ekstrem antara siang dan malam, udara kering, serta aktivitas fisik intensitas tinggi (tawaf, sai) merupakan kombinasi pencetus eksaserbasi yang jarang dijumpai bersamaan pada kondisi sehari-hari jemaah di Indonesia. Jemaah yang di rumah memiliki kontrol asma/PPOK baik pun berisiko mengalami eksaserbasi di lapangan haji akibat paparan kombinasi faktor ini.</w:t>
      </w:r>
    </w:p>
    <w:p>
      <w:pPr>
        <w:spacing w:before="200" w:after="80"/>
      </w:pPr>
      <w:r>
        <w:rPr>
          <w:rFonts w:ascii="Cambria" w:hAnsi="Cambria" w:eastAsia="Cambria" w:cs="Cambria"/>
          <w:b/>
          <w:i w:val="0"/>
          <w:color w:val="123D33"/>
          <w:sz w:val="24"/>
        </w:rPr>
        <w:t>C.2 Tanda Bahaya Derajat Berat</w:t>
      </w:r>
    </w:p>
    <w:p>
      <w:pPr>
        <w:spacing w:after="160" w:line="276" w:lineRule="auto"/>
      </w:pPr>
      <w:r>
        <w:rPr>
          <w:rFonts w:ascii="Calibri" w:hAnsi="Calibri" w:eastAsia="Calibri" w:cs="Calibri"/>
          <w:b w:val="0"/>
          <w:i w:val="0"/>
          <w:color w:val="17251F"/>
          <w:sz w:val="22"/>
        </w:rPr>
        <w:t>Dokter kloter perlu segera mengenali tanda eksaserbasi berat yang memerlukan rujukan tanpa penundaan: kesulitan berbicara dalam kalimat penuh, penggunaan otot bantu napas, laju napas sangat cepat, sianosis, dan penurunan kesadaran akibat kelelahan otot pernapasan.</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C.2 — Tatalaksana Bertahap Eksaserbasi Asma/PPOK Lapangan</w:t>
            </w:r>
          </w:p>
          <w:p>
            <w:r>
              <w:rPr>
                <w:rFonts w:ascii="Calibri" w:hAnsi="Calibri" w:eastAsia="Calibri" w:cs="Calibri"/>
                <w:b w:val="0"/>
                <w:i w:val="0"/>
                <w:color w:val="17251F"/>
                <w:sz w:val="21"/>
              </w:rPr>
              <w:t>1) Nilai derajat keparahan (ringan-sedang-berat) berdasarkan kemampuan bicara, laju napas, dan penggunaan otot bantu napas → 2) Ringan-sedang: berikan bronkodilator kerja cepat (inhaler pribadi jemaah atau nebulizer bila tersedia) [PROTOKOL: rujuk pedoman resmi tatalaksana asma/PPOK eksaserbasi], posisikan duduk tegak, pantau respons 15–30 menit → 3) Berat/tidak respons terhadap bronkodilator awal: berikan oksigen bila tersedia dan terindikasi, ulangi bronkodilator sesuai protokol, segera aktifkan rujukan → 4) Dokumentasikan derajat keparahan awal, tatalaksana, dan respons.</w:t>
            </w:r>
          </w:p>
        </w:tc>
      </w:tr>
    </w:tbl>
    <w:p>
      <w:pPr>
        <w:spacing w:after="80"/>
      </w:pPr>
    </w:p>
    <w:tbl>
      <w:tblPr>
        <w:tblW w:type="auto" w:w="0"/>
        <w:jc w:val="center"/>
        <w:tblLayout w:type="fixed"/>
        <w:tblLook w:firstColumn="1" w:firstRow="1" w:lastColumn="0" w:lastRow="0" w:noHBand="0" w:noVBand="1" w:val="04A0"/>
      </w:tblPr>
      <w:tblGrid>
        <w:gridCol w:w="3024"/>
        <w:gridCol w:w="3024"/>
        <w:gridCol w:w="3024"/>
      </w:tblGrid>
      <w:tr>
        <w:tc>
          <w:tcPr>
            <w:tcW w:type="dxa" w:w="1984"/>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Derajat</w:t>
            </w:r>
          </w:p>
        </w:tc>
        <w:tc>
          <w:tcPr>
            <w:tcW w:type="dxa" w:w="425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Tanda Klinis</w:t>
            </w:r>
          </w:p>
        </w:tc>
        <w:tc>
          <w:tcPr>
            <w:tcW w:type="dxa" w:w="3118"/>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Tindakan</w:t>
            </w:r>
          </w:p>
        </w:tc>
      </w:tr>
      <w:tr>
        <w:tc>
          <w:tcPr>
            <w:tcW w:type="dxa" w:w="1984"/>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Ringan-sedang</w:t>
            </w:r>
          </w:p>
        </w:tc>
        <w:tc>
          <w:tcPr>
            <w:tcW w:type="dxa" w:w="425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Sesak saat aktivitas, bicara masih lancar</w:t>
            </w:r>
          </w:p>
        </w:tc>
        <w:tc>
          <w:tcPr>
            <w:tcW w:type="dxa" w:w="311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Bronkodilator, posisi duduk, observasi</w:t>
            </w:r>
          </w:p>
        </w:tc>
      </w:tr>
      <w:tr>
        <w:tc>
          <w:tcPr>
            <w:tcW w:type="dxa" w:w="1984"/>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Berat</w:t>
            </w:r>
          </w:p>
        </w:tc>
        <w:tc>
          <w:tcPr>
            <w:tcW w:type="dxa" w:w="425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Sulit bicara kalimat penuh, otot bantu napas aktif</w:t>
            </w:r>
          </w:p>
        </w:tc>
        <w:tc>
          <w:tcPr>
            <w:tcW w:type="dxa" w:w="311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Bronkodilator + oksigen, rujuk segera</w:t>
            </w:r>
          </w:p>
        </w:tc>
      </w:tr>
      <w:tr>
        <w:tc>
          <w:tcPr>
            <w:tcW w:type="dxa" w:w="1984"/>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Mengancam jiwa</w:t>
            </w:r>
          </w:p>
        </w:tc>
        <w:tc>
          <w:tcPr>
            <w:tcW w:type="dxa" w:w="425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Sianosis, kesadaran menurun, napas sangat lambat/cepat</w:t>
            </w:r>
          </w:p>
        </w:tc>
        <w:tc>
          <w:tcPr>
            <w:tcW w:type="dxa" w:w="311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Stabilisasi maksimal, rujuk emergensi</w:t>
            </w:r>
          </w:p>
        </w:tc>
      </w:tr>
    </w:tbl>
    <w:p>
      <w:pPr>
        <w:spacing w:after="80"/>
      </w:pPr>
    </w:p>
    <w:p>
      <w:pPr>
        <w:spacing w:before="200" w:after="80"/>
      </w:pPr>
      <w:r>
        <w:rPr>
          <w:rFonts w:ascii="Cambria" w:hAnsi="Cambria" w:eastAsia="Cambria" w:cs="Cambria"/>
          <w:b/>
          <w:i w:val="0"/>
          <w:color w:val="123D33"/>
          <w:sz w:val="24"/>
        </w:rPr>
        <w:t>C.3 Edukasi Preventif Sejak Kontak Pertama</w:t>
      </w:r>
    </w:p>
    <w:p>
      <w:pPr>
        <w:spacing w:after="160" w:line="276" w:lineRule="auto"/>
      </w:pPr>
      <w:r>
        <w:rPr>
          <w:rFonts w:ascii="Calibri" w:hAnsi="Calibri" w:eastAsia="Calibri" w:cs="Calibri"/>
          <w:b w:val="0"/>
          <w:i w:val="0"/>
          <w:color w:val="17251F"/>
          <w:sz w:val="22"/>
        </w:rPr>
        <w:t>Jemaah dengan riwayat asma/PPOK sebaiknya diidentifikasi sejak verifikasi istithaah klinis (lihat MK02 Modul 2) dan diberi edukasi preventif: selalu membawa inhaler pribadi, menghindari area berdebu dan jam kepadatan puncak bila memungkinkan, serta menjaga hidrasi optimal karena udara kering dapat memperberat gejala.</w:t>
      </w:r>
    </w:p>
    <w:p>
      <w:pPr>
        <w:spacing w:before="200" w:after="80"/>
      </w:pPr>
      <w:r>
        <w:rPr>
          <w:rFonts w:ascii="Cambria" w:hAnsi="Cambria" w:eastAsia="Cambria" w:cs="Cambria"/>
          <w:b/>
          <w:i w:val="0"/>
          <w:color w:val="123D33"/>
          <w:sz w:val="24"/>
        </w:rPr>
        <w:t>C.4 Memeriksa Teknik Penggunaan Inhaler</w:t>
      </w:r>
    </w:p>
    <w:p>
      <w:pPr>
        <w:spacing w:after="160" w:line="276" w:lineRule="auto"/>
      </w:pPr>
      <w:r>
        <w:rPr>
          <w:rFonts w:ascii="Calibri" w:hAnsi="Calibri" w:eastAsia="Calibri" w:cs="Calibri"/>
          <w:b w:val="0"/>
          <w:i w:val="0"/>
          <w:color w:val="17251F"/>
          <w:sz w:val="22"/>
        </w:rPr>
        <w:t>Banyak jemaah menggunakan inhaler dengan teknik yang kurang tepat, mengurangi efektivitas obat secara signifikan. Dokter kloter dianjurkan memeriksa teknik penggunaan inhaler jemaah risiko tinggi saat kontak pertama dan mengoreksi kesalahan umum (tidak mengocok inhaler, teknik inhalasi terlalu cepat, tidak menahan napas setelah inhalasi).</w:t>
      </w:r>
    </w:p>
    <w:p>
      <w:pPr>
        <w:spacing w:before="200" w:after="80"/>
      </w:pPr>
      <w:r>
        <w:rPr>
          <w:rFonts w:ascii="Cambria" w:hAnsi="Cambria" w:eastAsia="Cambria" w:cs="Cambria"/>
          <w:b/>
          <w:i w:val="0"/>
          <w:color w:val="123D33"/>
          <w:sz w:val="24"/>
        </w:rPr>
        <w:t>C.5 Koordinasi dengan Manajemen Komorbid Kronik</w:t>
      </w:r>
    </w:p>
    <w:p>
      <w:pPr>
        <w:spacing w:after="160" w:line="276" w:lineRule="auto"/>
      </w:pPr>
      <w:r>
        <w:rPr>
          <w:rFonts w:ascii="Calibri" w:hAnsi="Calibri" w:eastAsia="Calibri" w:cs="Calibri"/>
          <w:b w:val="0"/>
          <w:i w:val="0"/>
          <w:color w:val="17251F"/>
          <w:sz w:val="22"/>
        </w:rPr>
        <w:t>Tatalaksana eksaserbasi akut perlu diselaraskan dengan manajemen komorbid kronik jemaah secara keseluruhan (lihat MK02 Modul 5), termasuk memastikan tidak ada interaksi obat antara bronkodilator tambahan dengan obat rutin jemaah lainnya.</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Seorang jemaah dengan riwayat asma ringan yang selama ini terkontrol baik di Indonesia tiba-tiba mengalami sesak berat setelah berjalan melalui area berdebu menuju tempat ibadah. Dokter kloter yang telah mencatat riwayat asma jemaah ini sejak verifikasi awal segera memeriksa inhaler pribadinya — ternyata teknik penggunaannya kurang tepat sehingga obat tidak terhirup optimal. Setelah mengoreksi teknik dan memberikan bronkodilator tambahan dari kit kloter, kondisi jemaah membaik dalam 20 menit tanpa perlu rujukan, namun dokter kloter tetap mengedukasi jemaah untuk menghindari area berdebu pada aktivitas berikutnya.</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Global Initiative for Asthma (GINA). Global Strategy for Asthma Management and Prevention. Edisi terbaru yang tersedia saat modul ini disusun (Juli 2026): periksa ginasthma.org untuk laporan tahun berjalan. https://ginasthma.org/</w:t>
      </w:r>
    </w:p>
    <w:p>
      <w:pPr>
        <w:spacing w:after="80" w:line="276" w:lineRule="auto"/>
      </w:pPr>
      <w:r>
        <w:rPr>
          <w:rFonts w:ascii="Calibri" w:hAnsi="Calibri" w:eastAsia="Calibri" w:cs="Calibri"/>
          <w:b w:val="0"/>
          <w:i w:val="0"/>
          <w:color w:val="17251F"/>
          <w:sz w:val="22"/>
        </w:rPr>
        <w:t>2. Global Initiative for Chronic Obstructive Lung Disease (GOLD). Global Strategy for the Diagnosis, Management, and Prevention of COPD. Edisi terbaru yang tersedia saat modul ini disusun (Juli 2026): periksa goldcopd.org untuk laporan tahun berjalan. https://goldcopd.org/</w:t>
      </w:r>
    </w:p>
    <w:p>
      <w:pPr>
        <w:spacing w:after="80" w:line="276" w:lineRule="auto"/>
      </w:pPr>
      <w:r>
        <w:rPr>
          <w:rFonts w:ascii="Calibri" w:hAnsi="Calibri" w:eastAsia="Calibri" w:cs="Calibri"/>
          <w:b w:val="0"/>
          <w:i w:val="0"/>
          <w:color w:val="17251F"/>
          <w:sz w:val="22"/>
        </w:rPr>
        <w:t>3. Buku Tematik Fellowship Kedokteran Haji (B2) — Bab 5.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