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left"/>
      </w:pPr>
      <w:r>
        <w:rPr>
          <w:rFonts w:ascii="Cambria" w:hAnsi="Cambria" w:eastAsia="Cambria" w:cs="Cambria"/>
          <w:b w:val="0"/>
          <w:i w:val="0"/>
          <w:color w:val="526059"/>
          <w:sz w:val="24"/>
        </w:rPr>
        <w:t>MK04 — Farmakologi Klinis dalam Kondisi Ekstrem</w:t>
      </w:r>
    </w:p>
    <w:p>
      <w:pPr>
        <w:spacing w:before="0" w:after="280"/>
        <w:pBdr>
          <w:bottom w:val="single" w:sz="6" w:space="4" w:color="B6862C"/>
        </w:pBdr>
      </w:pPr>
      <w:r>
        <w:rPr>
          <w:rFonts w:ascii="Cambria" w:hAnsi="Cambria" w:eastAsia="Cambria" w:cs="Cambria"/>
          <w:b/>
          <w:i w:val="0"/>
          <w:color w:val="123D33"/>
          <w:sz w:val="40"/>
        </w:rPr>
        <w:t>Modul 5: Obat Emergensi Wajib dalam Kit Dokter Kloter</w:t>
      </w:r>
    </w:p>
    <w:tbl>
      <w:tblPr>
        <w:tblW w:type="auto" w:w="0"/>
        <w:jc w:val="center"/>
        <w:tblLayout w:type="autofit"/>
        <w:tblLook w:firstColumn="1" w:firstRow="1" w:lastColumn="0" w:lastRow="0" w:noHBand="0" w:noVBand="1" w:val="04A0"/>
      </w:tblPr>
      <w:tblGrid>
        <w:gridCol w:w="9072"/>
      </w:tblGrid>
      <w:tr>
        <w:tc>
          <w:tcPr>
            <w:tcW w:type="dxa" w:w="9072"/>
            <w:shd w:val="clear" w:color="auto" w:fill="FBF3E1"/>
            <w:tcBorders>
              <w:left w:val="single" w:sz="18" w:color="B6862C"/>
              <w:top w:val="nil"/>
              <w:bottom w:val="nil"/>
              <w:right w:val="nil"/>
            </w:tcBorders>
            <w:tcMar>
              <w:top w:w="120" w:type="dxa"/>
              <w:bottom w:w="120" w:type="dxa"/>
              <w:left w:w="200" w:type="dxa"/>
              <w:right w:w="200" w:type="dxa"/>
            </w:tcMar>
          </w:tcPr>
          <w:p>
            <w:r/>
            <w:r>
              <w:rPr>
                <w:rFonts w:ascii="Calibri" w:hAnsi="Calibri" w:eastAsia="Calibri" w:cs="Calibri"/>
                <w:b w:val="0"/>
                <w:i/>
                <w:color w:val="17251F"/>
                <w:sz w:val="21"/>
              </w:rPr>
              <w:t>[VALIDASI AHLI DIPERLUKAN] — Nama obat, dosis, dan rute pemberian spesifik pada modul ini wajib diisi dan ditinjau oleh dokter spesialis farmakologi klinis/spesialis terkait mengikuti formularium resmi Kemenkes/IDI sebelum digunakan sebagai rujukan klinis final.</w:t>
            </w:r>
          </w:p>
        </w:tc>
      </w:tr>
    </w:tbl>
    <w:p>
      <w:pPr>
        <w:spacing w:after="80"/>
      </w:pPr>
    </w:p>
    <w:p>
      <w:pPr>
        <w:spacing w:before="320" w:after="120"/>
        <w:pBdr>
          <w:bottom w:val="single" w:sz="4" w:space="4" w:color="1F6F5C"/>
        </w:pBdr>
      </w:pPr>
      <w:r>
        <w:rPr>
          <w:rFonts w:ascii="Cambria" w:hAnsi="Cambria" w:eastAsia="Cambria" w:cs="Cambria"/>
          <w:b/>
          <w:i w:val="0"/>
          <w:color w:val="1F6F5C"/>
          <w:sz w:val="28"/>
        </w:rPr>
        <w:t>A. Tujuan Pembelajaran</w:t>
      </w:r>
    </w:p>
    <w:p>
      <w:pPr>
        <w:spacing w:before="200" w:after="80"/>
      </w:pPr>
      <w:r>
        <w:rPr>
          <w:rFonts w:ascii="Cambria" w:hAnsi="Cambria" w:eastAsia="Cambria" w:cs="Cambria"/>
          <w:b/>
          <w:i w:val="0"/>
          <w:color w:val="123D33"/>
          <w:sz w:val="22"/>
        </w:rPr>
        <w:t>1. Pengetahuan</w:t>
      </w:r>
    </w:p>
    <w:p>
      <w:pPr>
        <w:pStyle w:val="ListBullet"/>
        <w:spacing w:after="80"/>
      </w:pPr>
      <w:r>
        <w:rPr>
          <w:rFonts w:ascii="Calibri" w:hAnsi="Calibri" w:eastAsia="Calibri" w:cs="Calibri"/>
          <w:b w:val="0"/>
          <w:i w:val="0"/>
          <w:color w:val="17251F"/>
          <w:sz w:val="22"/>
        </w:rPr>
        <w:t>Menjelaskan prinsip penentuan daftar obat emergensi wajib berdasarkan kondisi mengancam jiwa yang paling umum di lapangan haji.</w:t>
      </w:r>
    </w:p>
    <w:p>
      <w:pPr>
        <w:pStyle w:val="ListBullet"/>
        <w:spacing w:after="80"/>
      </w:pPr>
      <w:r>
        <w:rPr>
          <w:rFonts w:ascii="Calibri" w:hAnsi="Calibri" w:eastAsia="Calibri" w:cs="Calibri"/>
          <w:b w:val="0"/>
          <w:i w:val="0"/>
          <w:color w:val="17251F"/>
          <w:sz w:val="22"/>
        </w:rPr>
        <w:t>Menguraikan kategori obat emergensi berdasarkan indikasi kegawatan yang telah dipelajari pada MK02 dan MK03.</w:t>
      </w:r>
    </w:p>
    <w:p>
      <w:pPr>
        <w:pStyle w:val="ListBullet"/>
        <w:spacing w:after="80"/>
      </w:pPr>
      <w:r>
        <w:rPr>
          <w:rFonts w:ascii="Calibri" w:hAnsi="Calibri" w:eastAsia="Calibri" w:cs="Calibri"/>
          <w:b w:val="0"/>
          <w:i w:val="0"/>
          <w:color w:val="17251F"/>
          <w:sz w:val="22"/>
        </w:rPr>
        <w:t>Menjelaskan prinsip keseimbangan antara aksesibilitas cepat dan penggunaan tepat sasaran obat emergensi.</w:t>
      </w:r>
    </w:p>
    <w:p>
      <w:pPr>
        <w:spacing w:before="200" w:after="80"/>
      </w:pPr>
      <w:r>
        <w:rPr>
          <w:rFonts w:ascii="Cambria" w:hAnsi="Cambria" w:eastAsia="Cambria" w:cs="Cambria"/>
          <w:b/>
          <w:i w:val="0"/>
          <w:color w:val="123D33"/>
          <w:sz w:val="22"/>
        </w:rPr>
        <w:t>2. Sikap</w:t>
      </w:r>
    </w:p>
    <w:p>
      <w:pPr>
        <w:pStyle w:val="ListBullet"/>
        <w:spacing w:after="80"/>
      </w:pPr>
      <w:r>
        <w:rPr>
          <w:rFonts w:ascii="Calibri" w:hAnsi="Calibri" w:eastAsia="Calibri" w:cs="Calibri"/>
          <w:b w:val="0"/>
          <w:i w:val="0"/>
          <w:color w:val="17251F"/>
          <w:sz w:val="22"/>
        </w:rPr>
        <w:t>Menunjukkan disiplin memeriksa kelayakan obat emergensi secara rutin, tidak menunggu kasus darurat untuk mengetahui kekurangannya.</w:t>
      </w:r>
    </w:p>
    <w:p>
      <w:pPr>
        <w:pStyle w:val="ListBullet"/>
        <w:spacing w:after="80"/>
      </w:pPr>
      <w:r>
        <w:rPr>
          <w:rFonts w:ascii="Calibri" w:hAnsi="Calibri" w:eastAsia="Calibri" w:cs="Calibri"/>
          <w:b w:val="0"/>
          <w:i w:val="0"/>
          <w:color w:val="17251F"/>
          <w:sz w:val="22"/>
        </w:rPr>
        <w:t>Menghargai pentingnya akuntabilitas penggunaan obat emergensi melalui dokumentasi yang jelas.</w:t>
      </w:r>
    </w:p>
    <w:p>
      <w:pPr>
        <w:spacing w:before="200" w:after="80"/>
      </w:pPr>
      <w:r>
        <w:rPr>
          <w:rFonts w:ascii="Cambria" w:hAnsi="Cambria" w:eastAsia="Cambria" w:cs="Cambria"/>
          <w:b/>
          <w:i w:val="0"/>
          <w:color w:val="123D33"/>
          <w:sz w:val="22"/>
        </w:rPr>
        <w:t>3. Psikomotor</w:t>
      </w:r>
    </w:p>
    <w:p>
      <w:pPr>
        <w:pStyle w:val="ListBullet"/>
        <w:spacing w:after="80"/>
      </w:pPr>
      <w:r>
        <w:rPr>
          <w:rFonts w:ascii="Calibri" w:hAnsi="Calibri" w:eastAsia="Calibri" w:cs="Calibri"/>
          <w:b w:val="0"/>
          <w:i w:val="0"/>
          <w:color w:val="17251F"/>
          <w:sz w:val="22"/>
        </w:rPr>
        <w:t>Mendemonstrasikan siklus pengelolaan obat emergensi kit kloter dari verifikasi hingga resupply.</w:t>
      </w:r>
    </w:p>
    <w:p>
      <w:pPr>
        <w:pStyle w:val="ListBullet"/>
        <w:spacing w:after="80"/>
      </w:pPr>
      <w:r>
        <w:rPr>
          <w:rFonts w:ascii="Calibri" w:hAnsi="Calibri" w:eastAsia="Calibri" w:cs="Calibri"/>
          <w:b w:val="0"/>
          <w:i w:val="0"/>
          <w:color w:val="17251F"/>
          <w:sz w:val="22"/>
        </w:rPr>
        <w:t>Mempraktikkan simulasi akses cepat obat emergensi bersama seluruh anggota tim kloter.</w:t>
      </w:r>
    </w:p>
    <w:p>
      <w:pPr>
        <w:spacing w:before="320" w:after="120"/>
        <w:pBdr>
          <w:bottom w:val="single" w:sz="4" w:space="4" w:color="1F6F5C"/>
        </w:pBdr>
      </w:pPr>
      <w:r>
        <w:rPr>
          <w:rFonts w:ascii="Cambria" w:hAnsi="Cambria" w:eastAsia="Cambria" w:cs="Cambria"/>
          <w:b/>
          <w:i w:val="0"/>
          <w:color w:val="1F6F5C"/>
          <w:sz w:val="28"/>
        </w:rPr>
        <w:t>B. Deskripsi</w:t>
      </w:r>
    </w:p>
    <w:p>
      <w:pPr>
        <w:spacing w:after="160" w:line="276" w:lineRule="auto"/>
      </w:pPr>
      <w:r>
        <w:rPr>
          <w:rFonts w:ascii="Calibri" w:hAnsi="Calibri" w:eastAsia="Calibri" w:cs="Calibri"/>
          <w:b w:val="0"/>
          <w:i w:val="0"/>
          <w:color w:val="17251F"/>
          <w:sz w:val="22"/>
        </w:rPr>
        <w:t>Obat emergensi yang lengkap secara daftar namun sulit diakses secara fisik pada dasarnya sama saja dengan tidak tersedia ketika detik-detik menentukan. Modul ini menyatukan seluruh kompetensi tatalaksana kegawatan yang telah dipelajari pada MK02 dan MK03 ke dalam satu pertanyaan praktis: obat apa yang harus selalu ada di tangan, dan bagaimana memastikan obat itu benar-benar dapat diakses dalam hitungan detik saat dibutuhkan, bukan sekadar tercantum rapi dalam daftar.</w:t>
      </w:r>
    </w:p>
    <w:p>
      <w:pPr>
        <w:spacing w:before="320" w:after="120"/>
        <w:pBdr>
          <w:bottom w:val="single" w:sz="4" w:space="4" w:color="1F6F5C"/>
        </w:pBdr>
      </w:pPr>
      <w:r>
        <w:rPr>
          <w:rFonts w:ascii="Cambria" w:hAnsi="Cambria" w:eastAsia="Cambria" w:cs="Cambria"/>
          <w:b/>
          <w:i w:val="0"/>
          <w:color w:val="1F6F5C"/>
          <w:sz w:val="28"/>
        </w:rPr>
        <w:t>C. Materi Inti</w:t>
      </w:r>
    </w:p>
    <w:p>
      <w:pPr>
        <w:spacing w:after="160" w:line="276" w:lineRule="auto"/>
      </w:pPr>
      <w:r>
        <w:rPr>
          <w:rFonts w:ascii="Calibri" w:hAnsi="Calibri" w:eastAsia="Calibri" w:cs="Calibri"/>
          <w:b w:val="0"/>
          <w:i/>
          <w:color w:val="17251F"/>
          <w:sz w:val="22"/>
        </w:rPr>
        <w:t>Bagian ini ditandai [VALIDASI AHLI DIPERLUKAN] untuk nama obat, dosis, dan rute pemberian spesifik.</w:t>
      </w:r>
    </w:p>
    <w:p>
      <w:pPr>
        <w:spacing w:before="200" w:after="80"/>
      </w:pPr>
      <w:r>
        <w:rPr>
          <w:rFonts w:ascii="Cambria" w:hAnsi="Cambria" w:eastAsia="Cambria" w:cs="Cambria"/>
          <w:b/>
          <w:i w:val="0"/>
          <w:color w:val="123D33"/>
          <w:sz w:val="24"/>
        </w:rPr>
        <w:t>C.1 Prinsip Penentuan Obat Emergensi Wajib</w:t>
      </w:r>
    </w:p>
    <w:p>
      <w:pPr>
        <w:spacing w:after="160" w:line="276" w:lineRule="auto"/>
      </w:pPr>
      <w:r>
        <w:rPr>
          <w:rFonts w:ascii="Calibri" w:hAnsi="Calibri" w:eastAsia="Calibri" w:cs="Calibri"/>
          <w:b w:val="0"/>
          <w:i w:val="0"/>
          <w:color w:val="17251F"/>
          <w:sz w:val="22"/>
        </w:rPr>
        <w:t>Daftar obat emergensi dalam kit dokter kloter harus mencakup obat-obat yang mendukung tatalaksana kondisi mengancam jiwa yang telah dibahas pada MK02 dan MK03: kegawatan kardiovaskular, kegawatan respirasi, syok/anafilaksis, dan kegawatan glikemik. Penentuan jenis dan jumlah spesifik obat emergensi mengikuti [PROTOKOL: rujuk formularium resmi Kemenkes/IDI untuk kit kesehatan haji yang berlaku] dan tidak boleh disusun berdasarkan preferensi individual dokter kloter semata. [VALIDASI AHLI DIPERLUKAN]</w:t>
      </w:r>
    </w:p>
    <w:p>
      <w:pPr>
        <w:spacing w:before="200" w:after="80"/>
      </w:pPr>
      <w:r>
        <w:rPr>
          <w:rFonts w:ascii="Cambria" w:hAnsi="Cambria" w:eastAsia="Cambria" w:cs="Cambria"/>
          <w:b/>
          <w:i w:val="0"/>
          <w:color w:val="123D33"/>
          <w:sz w:val="24"/>
        </w:rPr>
        <w:t>C.2 Kategori Obat Emergensi Berdasarkan Indikasi</w:t>
      </w:r>
    </w:p>
    <w:tbl>
      <w:tblPr>
        <w:tblW w:type="auto" w:w="0"/>
        <w:jc w:val="center"/>
        <w:tblLayout w:type="fixed"/>
        <w:tblLook w:firstColumn="1" w:firstRow="1" w:lastColumn="0" w:lastRow="0" w:noHBand="0" w:noVBand="1" w:val="04A0"/>
      </w:tblPr>
      <w:tblGrid>
        <w:gridCol w:w="3024"/>
        <w:gridCol w:w="3024"/>
        <w:gridCol w:w="3024"/>
      </w:tblGrid>
      <w:tr>
        <w:tc>
          <w:tcPr>
            <w:tcW w:type="dxa" w:w="2551"/>
            <w:shd w:val="clear" w:color="auto" w:fill="1F6F5C"/>
            <w:tcBorders>
              <w:top w:val="single" w:sz="4" w:space="0" w:color="E1E9E5"/>
              <w:left w:val="single" w:sz="4" w:space="0" w:color="E1E9E5"/>
              <w:bottom w:val="single" w:sz="4" w:space="0" w:color="E1E9E5"/>
              <w:right w:val="single" w:sz="4" w:space="0" w:color="E1E9E5"/>
            </w:tcBorders>
          </w:tcPr>
          <w:p>
            <w:r/>
            <w:r>
              <w:rPr>
                <w:rFonts w:ascii="Cambria" w:hAnsi="Cambria" w:eastAsia="Cambria" w:cs="Cambria"/>
                <w:b/>
                <w:i w:val="0"/>
                <w:color w:val="FFFFFF"/>
                <w:sz w:val="21"/>
              </w:rPr>
              <w:t>Indikasi Kegawatan</w:t>
            </w:r>
          </w:p>
        </w:tc>
        <w:tc>
          <w:tcPr>
            <w:tcW w:type="dxa" w:w="3685"/>
            <w:shd w:val="clear" w:color="auto" w:fill="1F6F5C"/>
            <w:tcBorders>
              <w:top w:val="single" w:sz="4" w:space="0" w:color="E1E9E5"/>
              <w:left w:val="single" w:sz="4" w:space="0" w:color="E1E9E5"/>
              <w:bottom w:val="single" w:sz="4" w:space="0" w:color="E1E9E5"/>
              <w:right w:val="single" w:sz="4" w:space="0" w:color="E1E9E5"/>
            </w:tcBorders>
          </w:tcPr>
          <w:p>
            <w:r/>
            <w:r>
              <w:rPr>
                <w:rFonts w:ascii="Cambria" w:hAnsi="Cambria" w:eastAsia="Cambria" w:cs="Cambria"/>
                <w:b/>
                <w:i w:val="0"/>
                <w:color w:val="FFFFFF"/>
                <w:sz w:val="21"/>
              </w:rPr>
              <w:t>Kategori Obat Diperlukan</w:t>
            </w:r>
          </w:p>
        </w:tc>
        <w:tc>
          <w:tcPr>
            <w:tcW w:type="dxa" w:w="2835"/>
            <w:shd w:val="clear" w:color="auto" w:fill="1F6F5C"/>
            <w:tcBorders>
              <w:top w:val="single" w:sz="4" w:space="0" w:color="E1E9E5"/>
              <w:left w:val="single" w:sz="4" w:space="0" w:color="E1E9E5"/>
              <w:bottom w:val="single" w:sz="4" w:space="0" w:color="E1E9E5"/>
              <w:right w:val="single" w:sz="4" w:space="0" w:color="E1E9E5"/>
            </w:tcBorders>
          </w:tcPr>
          <w:p>
            <w:r/>
            <w:r>
              <w:rPr>
                <w:rFonts w:ascii="Cambria" w:hAnsi="Cambria" w:eastAsia="Cambria" w:cs="Cambria"/>
                <w:b/>
                <w:i w:val="0"/>
                <w:color w:val="FFFFFF"/>
                <w:sz w:val="21"/>
              </w:rPr>
              <w:t>Modul Rujukan Tatalaksana</w:t>
            </w:r>
          </w:p>
        </w:tc>
      </w:tr>
      <w:tr>
        <w:tc>
          <w:tcPr>
            <w:tcW w:type="dxa" w:w="2551"/>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Anafilaksis</w:t>
            </w:r>
          </w:p>
        </w:tc>
        <w:tc>
          <w:tcPr>
            <w:tcW w:type="dxa" w:w="3685"/>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Adrenalin dan obat pendukung sesuai protokol</w:t>
            </w:r>
          </w:p>
        </w:tc>
        <w:tc>
          <w:tcPr>
            <w:tcW w:type="dxa" w:w="2835"/>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MK03 Modul 6</w:t>
            </w:r>
          </w:p>
        </w:tc>
      </w:tr>
      <w:tr>
        <w:tc>
          <w:tcPr>
            <w:tcW w:type="dxa" w:w="2551"/>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Hipoglikemia berat</w:t>
            </w:r>
          </w:p>
        </w:tc>
        <w:tc>
          <w:tcPr>
            <w:tcW w:type="dxa" w:w="3685"/>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Dekstrosa/glukagon sesuai protokol</w:t>
            </w:r>
          </w:p>
        </w:tc>
        <w:tc>
          <w:tcPr>
            <w:tcW w:type="dxa" w:w="2835"/>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MK02 Modul 5</w:t>
            </w:r>
          </w:p>
        </w:tc>
      </w:tr>
      <w:tr>
        <w:tc>
          <w:tcPr>
            <w:tcW w:type="dxa" w:w="2551"/>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Sindrom koroner akut</w:t>
            </w:r>
          </w:p>
        </w:tc>
        <w:tc>
          <w:tcPr>
            <w:tcW w:type="dxa" w:w="3685"/>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Obat lini pertama sesuai protokol kardiologi</w:t>
            </w:r>
          </w:p>
        </w:tc>
        <w:tc>
          <w:tcPr>
            <w:tcW w:type="dxa" w:w="2835"/>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MK02 Modul 4</w:t>
            </w:r>
          </w:p>
        </w:tc>
      </w:tr>
      <w:tr>
        <w:tc>
          <w:tcPr>
            <w:tcW w:type="dxa" w:w="2551"/>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Eksaserbasi asma/PPOK berat</w:t>
            </w:r>
          </w:p>
        </w:tc>
        <w:tc>
          <w:tcPr>
            <w:tcW w:type="dxa" w:w="3685"/>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Bronkodilator kerja cepat, kortikosteroid sesuai protokol</w:t>
            </w:r>
          </w:p>
        </w:tc>
        <w:tc>
          <w:tcPr>
            <w:tcW w:type="dxa" w:w="2835"/>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MK03 Modul 5</w:t>
            </w:r>
          </w:p>
        </w:tc>
      </w:tr>
      <w:tr>
        <w:tc>
          <w:tcPr>
            <w:tcW w:type="dxa" w:w="2551"/>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Kegawatan kejang (bila terjadi)</w:t>
            </w:r>
          </w:p>
        </w:tc>
        <w:tc>
          <w:tcPr>
            <w:tcW w:type="dxa" w:w="3685"/>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Antikonvulsan sesuai protokol</w:t>
            </w:r>
          </w:p>
        </w:tc>
        <w:tc>
          <w:tcPr>
            <w:tcW w:type="dxa" w:w="2835"/>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Rujuk pedoman resmi kegawatan neurologi</w:t>
            </w:r>
          </w:p>
        </w:tc>
      </w:tr>
    </w:tbl>
    <w:p>
      <w:pPr>
        <w:spacing w:after="80"/>
      </w:pPr>
    </w:p>
    <w:p>
      <w:pPr>
        <w:spacing w:after="160" w:line="276" w:lineRule="auto"/>
      </w:pPr>
      <w:r>
        <w:rPr>
          <w:rFonts w:ascii="Calibri" w:hAnsi="Calibri" w:eastAsia="Calibri" w:cs="Calibri"/>
          <w:b w:val="0"/>
          <w:i/>
          <w:color w:val="17251F"/>
          <w:sz w:val="22"/>
        </w:rPr>
        <w:t>Nama obat, dosis, dan rute pemberian spesifik wajib mengikuti [PROTOKOL: rujuk pedoman klinis resmi yang berlaku] dan diisi oleh dokter spesialis sebelum naskah difinalisasi. [VALIDASI AHLI DIPERLUKAN]</w:t>
      </w:r>
    </w:p>
    <w:p>
      <w:pPr>
        <w:spacing w:before="200" w:after="80"/>
      </w:pPr>
      <w:r>
        <w:rPr>
          <w:rFonts w:ascii="Cambria" w:hAnsi="Cambria" w:eastAsia="Cambria" w:cs="Cambria"/>
          <w:b/>
          <w:i w:val="0"/>
          <w:color w:val="123D33"/>
          <w:sz w:val="24"/>
        </w:rPr>
        <w:t>C.3 Algoritma Pengelolaan Obat Emergensi</w:t>
      </w:r>
    </w:p>
    <w:tbl>
      <w:tblPr>
        <w:tblW w:type="auto" w:w="0"/>
        <w:jc w:val="center"/>
        <w:tblLayout w:type="autofit"/>
        <w:tblLook w:firstColumn="1" w:firstRow="1" w:lastColumn="0" w:lastRow="0" w:noHBand="0" w:noVBand="1" w:val="04A0"/>
      </w:tblPr>
      <w:tblGrid>
        <w:gridCol w:w="9072"/>
      </w:tblGrid>
      <w:tr>
        <w:tc>
          <w:tcPr>
            <w:tcW w:type="dxa" w:w="9072"/>
            <w:shd w:val="clear" w:color="auto" w:fill="E8F2EE"/>
            <w:tcBorders>
              <w:left w:val="single" w:sz="18" w:color="1F6F5C"/>
              <w:top w:val="nil"/>
              <w:bottom w:val="nil"/>
              <w:right w:val="nil"/>
            </w:tcBorders>
            <w:tcMar>
              <w:top w:w="120" w:type="dxa"/>
              <w:bottom w:w="120" w:type="dxa"/>
              <w:left w:w="200" w:type="dxa"/>
              <w:right w:w="200" w:type="dxa"/>
            </w:tcMar>
          </w:tcPr>
          <w:p>
            <w:r/>
            <w:r>
              <w:rPr>
                <w:rFonts w:ascii="Cambria" w:hAnsi="Cambria" w:eastAsia="Cambria" w:cs="Cambria"/>
                <w:b/>
                <w:i w:val="0"/>
                <w:color w:val="123D33"/>
                <w:sz w:val="22"/>
              </w:rPr>
              <w:t>Algoritma C.3 — Siklus Pengelolaan Obat Emergensi Kit Kloter</w:t>
            </w:r>
          </w:p>
          <w:p>
            <w:r>
              <w:rPr>
                <w:rFonts w:ascii="Calibri" w:hAnsi="Calibri" w:eastAsia="Calibri" w:cs="Calibri"/>
                <w:b w:val="0"/>
                <w:i w:val="0"/>
                <w:color w:val="17251F"/>
                <w:sz w:val="21"/>
              </w:rPr>
              <w:t>1) Verifikasi kelengkapan obat emergensi sesuai daftar resmi sebelum keberangkatan → 2) Periksa tanggal kedaluwarsa dan kondisi fisik obat emergensi setiap awal minggu → 3) Simpan obat emergensi pada lokasi yang mudah diakses cepat dan diketahui seluruh anggota tim kloter → 4) Setelah penggunaan pada kasus kegawatan, segera catat penggunaan dan ajukan penggantian dari KKHI Sektor → 5) Lakukan simulasi berkala (role-play) pengambilan obat emergensi untuk memastikan seluruh tim dapat mengaksesnya dengan cepat dalam kondisi darurat nyata.</w:t>
            </w:r>
          </w:p>
        </w:tc>
      </w:tr>
    </w:tbl>
    <w:p>
      <w:pPr>
        <w:spacing w:after="80"/>
      </w:pPr>
    </w:p>
    <w:p>
      <w:pPr>
        <w:spacing w:before="200" w:after="80"/>
      </w:pPr>
      <w:r>
        <w:rPr>
          <w:rFonts w:ascii="Cambria" w:hAnsi="Cambria" w:eastAsia="Cambria" w:cs="Cambria"/>
          <w:b/>
          <w:i w:val="0"/>
          <w:color w:val="123D33"/>
          <w:sz w:val="24"/>
        </w:rPr>
        <w:t>C.4 Aksesibilitas dan Kecepatan Respons</w:t>
      </w:r>
    </w:p>
    <w:p>
      <w:pPr>
        <w:spacing w:after="160" w:line="276" w:lineRule="auto"/>
      </w:pPr>
      <w:r>
        <w:rPr>
          <w:rFonts w:ascii="Calibri" w:hAnsi="Calibri" w:eastAsia="Calibri" w:cs="Calibri"/>
          <w:b w:val="0"/>
          <w:i w:val="0"/>
          <w:color w:val="17251F"/>
          <w:sz w:val="22"/>
        </w:rPr>
        <w:t>Obat emergensi yang lengkap namun tersimpan pada lokasi yang sulit diakses atau tidak diketahui letaknya oleh seluruh anggota tim sama saja dengan tidak tersedia saat dibutuhkan dalam hitungan detik-menit. Dokter kloter perlu memastikan seluruh anggota tim, termasuk yang bertugas jaga malam, mengetahui persis lokasi dan cara mengakses obat emergensi tanpa harus mencari-cari saat kegawatan terjadi.</w:t>
      </w:r>
    </w:p>
    <w:p>
      <w:pPr>
        <w:spacing w:before="200" w:after="80"/>
      </w:pPr>
      <w:r>
        <w:rPr>
          <w:rFonts w:ascii="Cambria" w:hAnsi="Cambria" w:eastAsia="Cambria" w:cs="Cambria"/>
          <w:b/>
          <w:i w:val="0"/>
          <w:color w:val="123D33"/>
          <w:sz w:val="24"/>
        </w:rPr>
        <w:t>C.5 Koordinasi Resupply dengan KKHI Sektor</w:t>
      </w:r>
    </w:p>
    <w:p>
      <w:pPr>
        <w:spacing w:after="160" w:line="276" w:lineRule="auto"/>
      </w:pPr>
      <w:r>
        <w:rPr>
          <w:rFonts w:ascii="Calibri" w:hAnsi="Calibri" w:eastAsia="Calibri" w:cs="Calibri"/>
          <w:b w:val="0"/>
          <w:i w:val="0"/>
          <w:color w:val="17251F"/>
          <w:sz w:val="22"/>
        </w:rPr>
        <w:t>Karena keterbatasan ruang penyimpanan di tingkat kloter, dokter kloter perlu membangun hubungan koordinasi yang responsif dengan KKHI Sektor untuk resupply cepat obat emergensi yang telah digunakan, termasuk mengetahui prosedur permintaan darurat di luar jam kerja normal.</w:t>
      </w:r>
    </w:p>
    <w:p>
      <w:pPr>
        <w:spacing w:before="200" w:after="80"/>
      </w:pPr>
      <w:r>
        <w:rPr>
          <w:rFonts w:ascii="Cambria" w:hAnsi="Cambria" w:eastAsia="Cambria" w:cs="Cambria"/>
          <w:b/>
          <w:i w:val="0"/>
          <w:color w:val="123D33"/>
          <w:sz w:val="24"/>
        </w:rPr>
        <w:t>C.6 Menghindari Penyalahgunaan atau Penggunaan Tidak Tepat</w:t>
      </w:r>
    </w:p>
    <w:p>
      <w:pPr>
        <w:spacing w:after="160" w:line="276" w:lineRule="auto"/>
      </w:pPr>
      <w:r>
        <w:rPr>
          <w:rFonts w:ascii="Calibri" w:hAnsi="Calibri" w:eastAsia="Calibri" w:cs="Calibri"/>
          <w:b w:val="0"/>
          <w:i w:val="0"/>
          <w:color w:val="17251F"/>
          <w:sz w:val="22"/>
        </w:rPr>
        <w:t>Meskipun obat emergensi harus mudah diakses dengan cepat, dokter kloter tetap perlu memastikan penggunaannya sesuai indikasi yang jelas, bukan digunakan secara longgar untuk kasus yang sebenarnya dapat ditangani dengan obat non-emergensi. Setiap penggunaan obat emergensi sebaiknya didokumentasikan dengan indikasi klinis yang jelas. Dokter kloter sebagai penanggung jawab kit tetap memegang keputusan akhir mengenai kapan obat emergensi digunakan, meski anggota tim lain dapat mengaksesnya secara fisik dengan cepat — pembagian peran ini konsisten dengan struktur tim yang dibahas pada MK02 Modul 1.</w:t>
      </w:r>
    </w:p>
    <w:p>
      <w:pPr>
        <w:spacing w:before="320" w:after="120"/>
        <w:pBdr>
          <w:bottom w:val="single" w:sz="4" w:space="4" w:color="1F6F5C"/>
        </w:pBdr>
      </w:pPr>
      <w:r>
        <w:rPr>
          <w:rFonts w:ascii="Cambria" w:hAnsi="Cambria" w:eastAsia="Cambria" w:cs="Cambria"/>
          <w:b/>
          <w:i w:val="0"/>
          <w:color w:val="1F6F5C"/>
          <w:sz w:val="28"/>
        </w:rPr>
        <w:t>D. Ilustrasi Kasus (Vignette)</w:t>
      </w:r>
    </w:p>
    <w:p>
      <w:pPr>
        <w:spacing w:after="160" w:line="276" w:lineRule="auto"/>
      </w:pPr>
      <w:r>
        <w:rPr>
          <w:rFonts w:ascii="Calibri" w:hAnsi="Calibri" w:eastAsia="Calibri" w:cs="Calibri"/>
          <w:b w:val="0"/>
          <w:i w:val="0"/>
          <w:color w:val="17251F"/>
          <w:sz w:val="22"/>
        </w:rPr>
        <w:t>Saat kasus anafilaksis terjadi pukul dua pagi, perawat yang bertugas jaga malam langsung tahu persis di kantong mana obat emergensi disimpan karena tim telah melakukan simulasi akses kit bersama sebelumnya — berbeda dengan skenario di mana ia harus membangunkan dokter hanya untuk bertanya lokasi obat. Meski memiliki akses cepat, perawat tersebut tetap mengonfirmasi dengan dokter kloter melalui radio sebelum menggunakan obat emergensi untuk kasus yang tampak meragukan indikasinya di lain waktu — langkah yang menjaga keseimbangan antara aksesibilitas cepat dan penggunaan yang tepat sasaran. [VALIDASI AHLI DIPERLUKAN]</w:t>
      </w:r>
    </w:p>
    <w:p>
      <w:pPr>
        <w:spacing w:before="320" w:after="120"/>
        <w:pBdr>
          <w:bottom w:val="single" w:sz="4" w:space="4" w:color="1F6F5C"/>
        </w:pBdr>
      </w:pPr>
      <w:r>
        <w:rPr>
          <w:rFonts w:ascii="Cambria" w:hAnsi="Cambria" w:eastAsia="Cambria" w:cs="Cambria"/>
          <w:b/>
          <w:i w:val="0"/>
          <w:color w:val="1F6F5C"/>
          <w:sz w:val="28"/>
        </w:rPr>
        <w:t>E. Referensi</w:t>
      </w:r>
    </w:p>
    <w:p>
      <w:pPr>
        <w:spacing w:after="80" w:line="276" w:lineRule="auto"/>
      </w:pPr>
      <w:r>
        <w:rPr>
          <w:rFonts w:ascii="Calibri" w:hAnsi="Calibri" w:eastAsia="Calibri" w:cs="Calibri"/>
          <w:b w:val="0"/>
          <w:i w:val="0"/>
          <w:color w:val="17251F"/>
          <w:sz w:val="22"/>
        </w:rPr>
        <w:t>1. Rujukan spesifik untuk topik "formularium resmi kit kesehatan haji IDI/Kemenkes" [DASAR TIDAK TERVERIFIKASI SECARA DARING — AI tidak menemukan dokumen resmi spesifik ini melalui pencarian web dan TIDAK mengklaim dokumen ini ada. Mohon konfirmasi judul, penerbit, tahun, dan tautan resminya; bila Anda dapat mengunggah/menunjukkan sumbernya, referensi ini akan diperbarui.]</w:t>
      </w:r>
    </w:p>
    <w:p>
      <w:pPr>
        <w:spacing w:after="80" w:line="276" w:lineRule="auto"/>
      </w:pPr>
      <w:r>
        <w:rPr>
          <w:rFonts w:ascii="Calibri" w:hAnsi="Calibri" w:eastAsia="Calibri" w:cs="Calibri"/>
          <w:b w:val="0"/>
          <w:i w:val="0"/>
          <w:color w:val="17251F"/>
          <w:sz w:val="22"/>
        </w:rPr>
        <w:t>2. Buku Tematik Fellowship Kedokteran Haji (B3) — Bab 5. Perpustakaan Digital ABBA. [VALIDASI AHLI DIPERLUKAN]</w:t>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eastAsia="Calibri" w:cs="Calibri"/>
        <w:b w:val="0"/>
        <w:i w:val="0"/>
        <w:color w:val="526059"/>
        <w:sz w:val="18"/>
      </w:rP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Cambria" w:hAnsi="Cambria" w:eastAsia="Cambria" w:cs="Cambria"/>
        <w:b w:val="0"/>
        <w:i/>
        <w:color w:val="526059"/>
        <w:sz w:val="18"/>
      </w:rPr>
      <w:t>Ekosistem Pendidikan Kedokteran Haji</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Calibri"/>
      <w:color w:val="17251F"/>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