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MK05 — Manajemen Komorbid pada Jemaah Lanjut Usia</w:t>
      </w:r>
    </w:p>
    <w:p>
      <w:pPr>
        <w:pBdr>
          <w:bottom w:val="single" w:color="B6862C" w:sz="12" w:space="6"/>
        </w:pBdr>
        <w:spacing w:after="300"/>
      </w:pPr>
      <w:r>
        <w:rPr>
          <w:rFonts w:ascii="Cambria" w:cs="Cambria" w:eastAsia="Cambria" w:hAnsi="Cambria"/>
          <w:b/>
          <w:bCs/>
          <w:color w:val="123D33"/>
          <w:sz w:val="40"/>
          <w:szCs w:val="40"/>
        </w:rPr>
        <w:t xml:space="preserve">Modul 5: Gangguan Kognitif dan Kerentanan Jemaah Lanjut Usia di Kerumunan</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relevansi gangguan kognitif dalam konteks crowd dynamics selama ibadah haji.</w:t>
      </w:r>
    </w:p>
    <w:p>
      <w:pPr>
        <w:pStyle w:val="ListParagraph"/>
        <w:numPr>
          <w:ilvl w:val="0"/>
          <w:numId w:val="1"/>
        </w:numPr>
        <w:spacing w:after="80"/>
      </w:pPr>
      <w:r>
        <w:rPr>
          <w:rFonts w:ascii="Calibri" w:cs="Calibri" w:eastAsia="Calibri" w:hAnsi="Calibri"/>
          <w:color w:val="17251F"/>
          <w:sz w:val="22"/>
          <w:szCs w:val="22"/>
        </w:rPr>
        <w:t xml:space="preserve">Menjelaskan tanda gangguan kognitif yang dapat diamati di lapangan tanpa pemeriksaan neuropsikologis formal.</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Menghormati martabat jemaah saat menerapkan strategi mitigasi risiko tersesat.</w:t>
      </w:r>
    </w:p>
    <w:p>
      <w:pPr>
        <w:pStyle w:val="ListParagraph"/>
        <w:numPr>
          <w:ilvl w:val="0"/>
          <w:numId w:val="1"/>
        </w:numPr>
        <w:spacing w:after="80"/>
      </w:pPr>
      <w:r>
        <w:rPr>
          <w:rFonts w:ascii="Calibri" w:cs="Calibri" w:eastAsia="Calibri" w:hAnsi="Calibri"/>
          <w:color w:val="17251F"/>
          <w:sz w:val="22"/>
          <w:szCs w:val="22"/>
        </w:rPr>
        <w:t xml:space="preserve">Menunjukkan kepekaan terhadap keseimbangan antara keamanan dan kemandirian jemaah lanjut usia.</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manajemen risiko jemaah dengan kerentanan kognitif.</w:t>
      </w:r>
    </w:p>
    <w:p>
      <w:pPr>
        <w:pStyle w:val="ListParagraph"/>
        <w:numPr>
          <w:ilvl w:val="0"/>
          <w:numId w:val="1"/>
        </w:numPr>
        <w:spacing w:after="80"/>
      </w:pPr>
      <w:r>
        <w:rPr>
          <w:rFonts w:ascii="Calibri" w:cs="Calibri" w:eastAsia="Calibri" w:hAnsi="Calibri"/>
          <w:color w:val="17251F"/>
          <w:sz w:val="22"/>
          <w:szCs w:val="22"/>
        </w:rPr>
        <w:t xml:space="preserve">Mendemonstrasikan koordinasi dengan sistem pencarian jemaah yang terpisah dari kelompok.</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Risiko pada jemaah dengan gangguan kognitif ringan sering tidak terlihat sampai insiden tersesat benar-benar terjadi di tengah kerumunan yang padat dan asing.</w:t>
      </w:r>
    </w:p>
    <w:p>
      <w:pPr>
        <w:spacing w:after="140" w:line="300"/>
      </w:pPr>
      <w:r>
        <w:rPr>
          <w:rFonts w:ascii="Calibri" w:cs="Calibri" w:eastAsia="Calibri" w:hAnsi="Calibri"/>
          <w:i w:val="false"/>
          <w:iCs w:val="false"/>
          <w:color w:val="17251F"/>
          <w:sz w:val="22"/>
          <w:szCs w:val="22"/>
        </w:rPr>
        <w:t xml:space="preserve">Modul ini penting karena kerentanan kognitif jarang terdiagnosis formal sebelum keberangkatan, sehingga dokter kloter perlu mengandalkan observasi lapangan untuk mengenalinya sejak dini, sebelum berujung pada insiden yang membahayakan jemaah.</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Relevansi Gangguan Kognitif dalam Konteks Crowd Dynamics</w:t>
      </w:r>
    </w:p>
    <w:p>
      <w:pPr>
        <w:spacing w:after="140" w:line="300"/>
      </w:pPr>
      <w:r>
        <w:rPr>
          <w:rFonts w:ascii="Calibri" w:cs="Calibri" w:eastAsia="Calibri" w:hAnsi="Calibri"/>
          <w:i w:val="false"/>
          <w:iCs w:val="false"/>
          <w:color w:val="17251F"/>
          <w:sz w:val="22"/>
          <w:szCs w:val="22"/>
        </w:rPr>
        <w:t xml:space="preserve">Jemaah lanjut usia dengan gangguan kognitif ringan hingga sedang — termasuk yang belum terdiagnosis formal — menghadapi risiko tersendiri dalam lingkungan kerumunan yang padat dan asing: risiko tersesat dari kelompok, kesulitan mengikuti instruksi kompleks dalam situasi darurat, dan kesulitan mengomunikasikan gejala atau kebutuhan medis secara akurat.</w:t>
      </w:r>
    </w:p>
    <w:p>
      <w:pPr>
        <w:spacing w:after="90" w:before="200"/>
      </w:pPr>
      <w:r>
        <w:rPr>
          <w:rFonts w:ascii="Cambria" w:cs="Cambria" w:eastAsia="Cambria" w:hAnsi="Cambria"/>
          <w:b/>
          <w:bCs/>
          <w:color w:val="123D33"/>
          <w:sz w:val="23"/>
          <w:szCs w:val="23"/>
        </w:rPr>
        <w:t xml:space="preserve">2. Mengenali Tanda Gangguan Kognitif di Lapangan</w:t>
      </w:r>
    </w:p>
    <w:p>
      <w:pPr>
        <w:spacing w:after="140" w:line="300"/>
      </w:pPr>
      <w:r>
        <w:rPr>
          <w:rFonts w:ascii="Calibri" w:cs="Calibri" w:eastAsia="Calibri" w:hAnsi="Calibri"/>
          <w:i w:val="false"/>
          <w:iCs w:val="false"/>
          <w:color w:val="17251F"/>
          <w:sz w:val="22"/>
          <w:szCs w:val="22"/>
        </w:rPr>
        <w:t xml:space="preserve">Tanda yang dapat diamati tanpa pemeriksaan formal meliputi: kebingungan berulang mengenai lokasi/waktu, kesulitan mengingat instruksi sederhana yang baru disampaikan, perubahan perilaku mendadak (agitasi, menarik diri) terutama malam hari, dan riwayat tersesat/terpisah dari kelompok sebelumnya.</w:t>
      </w:r>
    </w:p>
    <w:p>
      <w:pPr>
        <w:spacing w:after="90" w:before="200"/>
      </w:pPr>
      <w:r>
        <w:rPr>
          <w:rFonts w:ascii="Cambria" w:cs="Cambria" w:eastAsia="Cambria" w:hAnsi="Cambria"/>
          <w:b/>
          <w:bCs/>
          <w:color w:val="123D33"/>
          <w:sz w:val="23"/>
          <w:szCs w:val="23"/>
        </w:rPr>
        <w:t xml:space="preserve">3. Algoritma Manajemen Risiko Jemaah dengan Kerentanan Kognitif</w:t>
      </w:r>
    </w:p>
    <w:p>
      <w:pPr>
        <w:pStyle w:val="ListParagraph"/>
        <w:numPr>
          <w:ilvl w:val="0"/>
          <w:numId w:val="1"/>
        </w:numPr>
        <w:spacing w:after="80"/>
      </w:pPr>
      <w:r>
        <w:rPr>
          <w:rFonts w:ascii="Calibri" w:cs="Calibri" w:eastAsia="Calibri" w:hAnsi="Calibri"/>
          <w:color w:val="17251F"/>
          <w:sz w:val="22"/>
          <w:szCs w:val="22"/>
        </w:rPr>
        <w:t xml:space="preserve">Identifikasi jemaah dengan tanda gangguan kognitif melalui observasi rutin dan laporan sesama jemaah/ketua kelompok.</w:t>
      </w:r>
    </w:p>
    <w:p>
      <w:pPr>
        <w:pStyle w:val="ListParagraph"/>
        <w:numPr>
          <w:ilvl w:val="0"/>
          <w:numId w:val="1"/>
        </w:numPr>
        <w:spacing w:after="80"/>
      </w:pPr>
      <w:r>
        <w:rPr>
          <w:rFonts w:ascii="Calibri" w:cs="Calibri" w:eastAsia="Calibri" w:hAnsi="Calibri"/>
          <w:color w:val="17251F"/>
          <w:sz w:val="22"/>
          <w:szCs w:val="22"/>
        </w:rPr>
        <w:t xml:space="preserve">Pasang identitas tambahan (gelang identitas, kartu informasi kontak kloter) pada jemaah berisiko tinggi tersesat.</w:t>
      </w:r>
    </w:p>
    <w:p>
      <w:pPr>
        <w:pStyle w:val="ListParagraph"/>
        <w:numPr>
          <w:ilvl w:val="0"/>
          <w:numId w:val="1"/>
        </w:numPr>
        <w:spacing w:after="80"/>
      </w:pPr>
      <w:r>
        <w:rPr>
          <w:rFonts w:ascii="Calibri" w:cs="Calibri" w:eastAsia="Calibri" w:hAnsi="Calibri"/>
          <w:color w:val="17251F"/>
          <w:sz w:val="22"/>
          <w:szCs w:val="22"/>
        </w:rPr>
        <w:t xml:space="preserve">Tetapkan sistem pendampingan berpasangan (buddy system) untuk aktivitas di area padat.</w:t>
      </w:r>
    </w:p>
    <w:p>
      <w:pPr>
        <w:pStyle w:val="ListParagraph"/>
        <w:numPr>
          <w:ilvl w:val="0"/>
          <w:numId w:val="1"/>
        </w:numPr>
        <w:spacing w:after="80"/>
      </w:pPr>
      <w:r>
        <w:rPr>
          <w:rFonts w:ascii="Calibri" w:cs="Calibri" w:eastAsia="Calibri" w:hAnsi="Calibri"/>
          <w:color w:val="17251F"/>
          <w:sz w:val="22"/>
          <w:szCs w:val="22"/>
        </w:rPr>
        <w:t xml:space="preserve">Edukasi pendamping mengenai tanda bahaya yang perlu segera dilaporkan pada dokter kloter.</w:t>
      </w:r>
    </w:p>
    <w:p>
      <w:pPr>
        <w:pStyle w:val="ListParagraph"/>
        <w:numPr>
          <w:ilvl w:val="0"/>
          <w:numId w:val="1"/>
        </w:numPr>
        <w:spacing w:after="80"/>
      </w:pPr>
      <w:r>
        <w:rPr>
          <w:rFonts w:ascii="Calibri" w:cs="Calibri" w:eastAsia="Calibri" w:hAnsi="Calibri"/>
          <w:color w:val="17251F"/>
          <w:sz w:val="22"/>
          <w:szCs w:val="22"/>
        </w:rPr>
        <w:t xml:space="preserve">Bila jemaah pernah tersesat, evaluasi ulang tingkat pendampingan dan pertimbangkan pembatasan aktivitas mandiri di area sangat padat.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Tingkat Kerentanan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Contoh Indikasi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Strategi Mitigasi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Ringan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Sesekali bingung arah, masih mandiri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Identitas tambahan, edukasi pendamping</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Sedang</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Sering bingung, butuh pengingat berulang</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Buddy system aktif, batasi aktivitas mandiri di area sangat padat</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Berat</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Riwayat tersesat, disorientasi signifikan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Pendampingan kontinu, koordinasi khusus dengan keluarga/KKHI</w:t>
            </w:r>
          </w:p>
        </w:tc>
      </w:tr>
    </w:tbl>
    <w:p>
      <w:pPr>
        <w:spacing w:after="90" w:before="200"/>
      </w:pPr>
      <w:r>
        <w:rPr>
          <w:rFonts w:ascii="Cambria" w:cs="Cambria" w:eastAsia="Cambria" w:hAnsi="Cambria"/>
          <w:b/>
          <w:bCs/>
          <w:color w:val="123D33"/>
          <w:sz w:val="23"/>
          <w:szCs w:val="23"/>
        </w:rPr>
        <w:t xml:space="preserve">4. Koordinasi dengan Sistem Pencarian Jemaah Hilang</w:t>
      </w:r>
    </w:p>
    <w:p>
      <w:pPr>
        <w:spacing w:after="140" w:line="300"/>
      </w:pPr>
      <w:r>
        <w:rPr>
          <w:rFonts w:ascii="Calibri" w:cs="Calibri" w:eastAsia="Calibri" w:hAnsi="Calibri"/>
          <w:i w:val="false"/>
          <w:iCs w:val="false"/>
          <w:color w:val="17251F"/>
          <w:sz w:val="22"/>
          <w:szCs w:val="22"/>
        </w:rPr>
        <w:t xml:space="preserve">Dokter kloter perlu mengetahui prosedur resmi pelaporan dan pencarian jemaah yang terpisah dari kelompok, termasuk kontak yang harus dihubungi (ketua kloter, KKHI Sektor, petugas keamanan setempat) dan informasi minimal yang perlu disiapkan sebelumnya (foto, ciri fisik, riwayat kesehatan ringkas).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Prinsip Etik: strategi mitigasi seperti gelang identitas atau pendampingan kontinu perlu diterapkan dengan cara yang menghormati martabat jemaah sebagai individu dewasa — bukan dengan cara yang membuat mereka merasa direndahkan atau kehilangan kemandirian secara berlebihan.</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jemaah lansia ditemukan bingung mengenai arah kembali ke pemondokan meski sudah tinggal di sana selama beberapa hari. Ketua kelompoknya melaporkan hal ini ke dokter kloter, yang kemudian memasang kartu identitas berisi nomor kloter dan menetapkan sistem pendampingan berpasangan dengan anggota keluarganya. Alih-alih mengatakan langsung bahwa jemaah tersebut 'harus selalu didampingi karena sering bingung', dokter kloter dan keluarga menyampaikan bahwa gelang identitas dan pendampingan adalah kebiasaan yang dianjurkan bagi semua jemaah lansia di lingkungan padat dan asing seperti ini — framing yang membantu jemaah menerima langkah tersebut tanpa merasa direndahkan.</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Perhimpunan Dokter Spesialis Kedokteran Geriatri Indonesia. Panduan Skrining Gangguan Kognitif pada Lanjut Usia. [URL belum diverifikasi]</w:t>
      </w:r>
    </w:p>
    <w:p>
      <w:pPr>
        <w:spacing w:after="100"/>
        <w:ind w:left="360" w:hanging="360"/>
      </w:pPr>
      <w:r>
        <w:rPr>
          <w:rFonts w:ascii="Calibri" w:cs="Calibri" w:eastAsia="Calibri" w:hAnsi="Calibri"/>
          <w:color w:val="17251F"/>
          <w:sz w:val="20"/>
          <w:szCs w:val="20"/>
        </w:rPr>
        <w:t xml:space="preserve">2.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MK05 · Modul 5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2026-07-15T19:33:05.580Z</dcterms:created>
  <dcterms:modified xsi:type="dcterms:W3CDTF">2026-07-15T19:33:05.580Z</dcterms:modified>
</cp:coreProperties>
</file>

<file path=docProps/custom.xml><?xml version="1.0" encoding="utf-8"?>
<Properties xmlns="http://schemas.openxmlformats.org/officeDocument/2006/custom-properties" xmlns:vt="http://schemas.openxmlformats.org/officeDocument/2006/docPropsVTypes"/>
</file>