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MK03 — Tatalaksana Kedaruratan Lapangan</w:t>
      </w:r>
    </w:p>
    <w:p>
      <w:pPr>
        <w:spacing w:before="0" w:after="280"/>
        <w:pBdr>
          <w:bottom w:val="single" w:sz="6" w:space="4" w:color="B6862C"/>
        </w:pBdr>
      </w:pPr>
      <w:r>
        <w:rPr>
          <w:rFonts w:ascii="Cambria" w:hAnsi="Cambria" w:eastAsia="Cambria" w:cs="Cambria"/>
          <w:b/>
          <w:i w:val="0"/>
          <w:color w:val="123D33"/>
          <w:sz w:val="40"/>
        </w:rPr>
        <w:t>Modul 6: Penanganan Syok dan Dehidrasi Berat</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jenis-jenis syok yang paling relevan di lapangan haji (hipovolemik, distributif, kardiogenik) dan cara membedakannya secara klinis.</w:t>
      </w:r>
    </w:p>
    <w:p>
      <w:pPr>
        <w:pStyle w:val="ListBullet"/>
        <w:spacing w:after="80"/>
      </w:pPr>
      <w:r>
        <w:rPr>
          <w:rFonts w:ascii="Calibri" w:hAnsi="Calibri" w:eastAsia="Calibri" w:cs="Calibri"/>
          <w:b w:val="0"/>
          <w:i w:val="0"/>
          <w:color w:val="17251F"/>
          <w:sz w:val="22"/>
        </w:rPr>
        <w:t>Menguraikan tingkatan dehidrasi dan tanda klinis masing-masing tingkat.</w:t>
      </w:r>
    </w:p>
    <w:p>
      <w:pPr>
        <w:pStyle w:val="ListBullet"/>
        <w:spacing w:after="80"/>
      </w:pPr>
      <w:r>
        <w:rPr>
          <w:rFonts w:ascii="Calibri" w:hAnsi="Calibri" w:eastAsia="Calibri" w:cs="Calibri"/>
          <w:b w:val="0"/>
          <w:i w:val="0"/>
          <w:color w:val="17251F"/>
          <w:sz w:val="22"/>
        </w:rPr>
        <w:t>Menjelaskan prinsip rehidrasi bertahap sesuai tingkat keparahan dan kondisi komorbid jemaah.</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kewaspadaan terhadap dehidrasi tersembunyi pada jemaah lanjut usia yang tidak selalu mengeluh haus.</w:t>
      </w:r>
    </w:p>
    <w:p>
      <w:pPr>
        <w:pStyle w:val="ListBullet"/>
        <w:spacing w:after="80"/>
      </w:pPr>
      <w:r>
        <w:rPr>
          <w:rFonts w:ascii="Calibri" w:hAnsi="Calibri" w:eastAsia="Calibri" w:cs="Calibri"/>
          <w:b w:val="0"/>
          <w:i w:val="0"/>
          <w:color w:val="17251F"/>
          <w:sz w:val="22"/>
        </w:rPr>
        <w:t>Menghargai pentingnya edukasi hidrasi proaktif sebagai pencegahan utama, bukan hanya reaktif menangani kasus.</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algoritma penilaian tingkat dehidrasi dan tatalaksana rehidrasi bertahap.</w:t>
      </w:r>
    </w:p>
    <w:p>
      <w:pPr>
        <w:pStyle w:val="ListBullet"/>
        <w:spacing w:after="80"/>
      </w:pPr>
      <w:r>
        <w:rPr>
          <w:rFonts w:ascii="Calibri" w:hAnsi="Calibri" w:eastAsia="Calibri" w:cs="Calibri"/>
          <w:b w:val="0"/>
          <w:i w:val="0"/>
          <w:color w:val="17251F"/>
          <w:sz w:val="22"/>
        </w:rPr>
        <w:t>Mempraktikkan pengenalan tanda syok dini sebelum tekanan darah turun secara nyata.</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Menunggu tekanan darah turun sebelum mengenali syok berarti sudah terlambat satu langkah — tanda dini syok biasanya muncul jauh sebelum hipotensi nyata terlihat. Modul ini penting karena dehidrasi adalah kondisi yang hampir universal dialami jemaah haji dalam derajat tertentu akibat suhu ekstrem, aktivitas fisik tinggi, dan pembatasan asupan cairan yang tidak disengaja saat beribadah, namun derajat keparahannya sangat bervariasi dan mudah terlewat bila hanya mengandalkan keluhan haus semata.</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Jenis Syok yang Relevan di Lapangan Haji</w:t>
      </w:r>
    </w:p>
    <w:p>
      <w:pPr>
        <w:spacing w:after="160" w:line="276" w:lineRule="auto"/>
      </w:pPr>
      <w:r>
        <w:rPr>
          <w:rFonts w:ascii="Calibri" w:hAnsi="Calibri" w:eastAsia="Calibri" w:cs="Calibri"/>
          <w:b w:val="0"/>
          <w:i w:val="0"/>
          <w:color w:val="17251F"/>
          <w:sz w:val="22"/>
        </w:rPr>
        <w:t>Syok hipovolemik akibat dehidrasi berat adalah jenis paling umum ditemui, namun dokter kloter perlu tetap mewaspadai syok distributif (misalnya reaksi anafilaksis, jarang namun mengancam jiwa) dan syok kardiogenik (dekompensasi jantung akut, lihat MK02 Modul 4) yang memerlukan pendekatan tatalaksana berbeda meski gambaran awal dapat serupa.</w:t>
      </w:r>
    </w:p>
    <w:p>
      <w:pPr>
        <w:spacing w:before="200" w:after="80"/>
      </w:pPr>
      <w:r>
        <w:rPr>
          <w:rFonts w:ascii="Cambria" w:hAnsi="Cambria" w:eastAsia="Cambria" w:cs="Cambria"/>
          <w:b/>
          <w:i w:val="0"/>
          <w:color w:val="123D33"/>
          <w:sz w:val="24"/>
        </w:rPr>
        <w:t>C.2 Tingkatan Dehidrasi dan Tanda Klinis</w:t>
      </w:r>
    </w:p>
    <w:tbl>
      <w:tblPr>
        <w:tblW w:type="auto" w:w="0"/>
        <w:jc w:val="center"/>
        <w:tblLayout w:type="fixed"/>
        <w:tblLook w:firstColumn="1" w:firstRow="1" w:lastColumn="0" w:lastRow="0" w:noHBand="0" w:noVBand="1" w:val="04A0"/>
      </w:tblPr>
      <w:tblGrid>
        <w:gridCol w:w="3024"/>
        <w:gridCol w:w="3024"/>
        <w:gridCol w:w="3024"/>
      </w:tblGrid>
      <w:tr>
        <w:tc>
          <w:tcPr>
            <w:tcW w:type="dxa" w:w="170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Tingkat</w:t>
            </w:r>
          </w:p>
        </w:tc>
        <w:tc>
          <w:tcPr>
            <w:tcW w:type="dxa" w:w="3969"/>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Tanda Klinis</w:t>
            </w:r>
          </w:p>
        </w:tc>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Tatalaksana</w:t>
            </w:r>
          </w:p>
        </w:tc>
      </w:tr>
      <w:tr>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Ringan</w:t>
            </w:r>
          </w:p>
        </w:tc>
        <w:tc>
          <w:tcPr>
            <w:tcW w:type="dxa" w:w="39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Haus, mukosa sedikit kering, nadi normal</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Rehidrasi oral, edukasi</w:t>
            </w:r>
          </w:p>
        </w:tc>
      </w:tr>
      <w:tr>
        <w:tc>
          <w:tcPr>
            <w:tcW w:type="dxa" w:w="170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Sedang</w:t>
            </w:r>
          </w:p>
        </w:tc>
        <w:tc>
          <w:tcPr>
            <w:tcW w:type="dxa" w:w="3969"/>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Mukosa kering, turgor kulit menurun, nadi cepat</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Rehidrasi oral agresif, pantau ketat</w:t>
            </w:r>
          </w:p>
        </w:tc>
      </w:tr>
      <w:tr>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Berat</w:t>
            </w:r>
          </w:p>
        </w:tc>
        <w:tc>
          <w:tcPr>
            <w:tcW w:type="dxa" w:w="3969"/>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Hipotensi, nadi lemah cepat, kesadaran menurun</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Akses IV, rehidrasi cairan sesuai protokol, rujuk segera</w:t>
            </w:r>
          </w:p>
        </w:tc>
      </w:tr>
    </w:tbl>
    <w:p>
      <w:pPr>
        <w:spacing w:after="80"/>
      </w:pPr>
    </w:p>
    <w:p>
      <w:pPr>
        <w:spacing w:before="200" w:after="80"/>
      </w:pPr>
      <w:r>
        <w:rPr>
          <w:rFonts w:ascii="Cambria" w:hAnsi="Cambria" w:eastAsia="Cambria" w:cs="Cambria"/>
          <w:b/>
          <w:i w:val="0"/>
          <w:color w:val="123D33"/>
          <w:sz w:val="24"/>
        </w:rPr>
        <w:t>C.3 Algoritma Penilaian dan Tatalaksana Rehidrasi</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w:t>
            </w:r>
          </w:p>
          <w:p>
            <w:r>
              <w:rPr>
                <w:rFonts w:ascii="Calibri" w:hAnsi="Calibri" w:eastAsia="Calibri" w:cs="Calibri"/>
                <w:b w:val="0"/>
                <w:i w:val="0"/>
                <w:color w:val="17251F"/>
                <w:sz w:val="21"/>
              </w:rPr>
              <w:t>1) Nilai tanda vital dan tanda klinis dehidrasi (mukosa, turgor kulit, kesadaran) → 2) Dehidrasi ringan-sedang dengan kesadaran baik: rehidrasi oral bertahap, pantau produksi urin dan perbaikan gejala → 3) Dehidrasi berat atau kesadaran menurun: pasang akses intravena, berikan cairan sesuai [PROTOKOL: rujuk pedoman resmi resusitasi cairan Kemenkes/IDI], rujuk segera → 4) Pada kecurigaan syok distributif (anafilaksis): [PROTOKOL: rujuk pedoman resmi tatalaksana anafilaksis termasuk epinefrin], rujuk emergensi → 5) Dokumentasikan tingkat dehidrasi awal dan respons terhadap rehidrasi.</w:t>
            </w:r>
          </w:p>
        </w:tc>
      </w:tr>
    </w:tbl>
    <w:p>
      <w:pPr>
        <w:spacing w:after="80"/>
      </w:pPr>
    </w:p>
    <w:p>
      <w:pPr>
        <w:spacing w:before="200" w:after="80"/>
      </w:pPr>
      <w:r>
        <w:rPr>
          <w:rFonts w:ascii="Cambria" w:hAnsi="Cambria" w:eastAsia="Cambria" w:cs="Cambria"/>
          <w:b/>
          <w:i w:val="0"/>
          <w:color w:val="123D33"/>
          <w:sz w:val="24"/>
        </w:rPr>
        <w:t>C.4 Dehidrasi Tersembunyi pada Jemaah Lanjut Usia</w:t>
      </w:r>
    </w:p>
    <w:p>
      <w:pPr>
        <w:spacing w:after="160" w:line="276" w:lineRule="auto"/>
      </w:pPr>
      <w:r>
        <w:rPr>
          <w:rFonts w:ascii="Calibri" w:hAnsi="Calibri" w:eastAsia="Calibri" w:cs="Calibri"/>
          <w:b w:val="0"/>
          <w:i w:val="0"/>
          <w:color w:val="17251F"/>
          <w:sz w:val="22"/>
        </w:rPr>
        <w:t>Jemaah lanjut usia sering memiliki sensasi haus yang berkurang, sehingga dapat mengalami dehidrasi cukup berat tanpa mengeluh haus sama sekali. Dokter kloter perlu proaktif menanyakan pola asupan cairan dan frekuensi buang air kecil pada jemaah lanjut usia, bukan hanya menunggu keluhan haus muncul dengan sendirinya.</w:t>
      </w:r>
    </w:p>
    <w:p>
      <w:pPr>
        <w:spacing w:before="200" w:after="80"/>
      </w:pPr>
      <w:r>
        <w:rPr>
          <w:rFonts w:ascii="Cambria" w:hAnsi="Cambria" w:eastAsia="Cambria" w:cs="Cambria"/>
          <w:b/>
          <w:i w:val="0"/>
          <w:color w:val="123D33"/>
          <w:sz w:val="24"/>
        </w:rPr>
        <w:t>C.5 Pencegahan Dehidrasi melalui Edukasi Proaktif</w:t>
      </w:r>
    </w:p>
    <w:p>
      <w:pPr>
        <w:spacing w:after="160" w:line="276" w:lineRule="auto"/>
      </w:pPr>
      <w:r>
        <w:rPr>
          <w:rFonts w:ascii="Calibri" w:hAnsi="Calibri" w:eastAsia="Calibri" w:cs="Calibri"/>
          <w:b w:val="0"/>
          <w:i w:val="0"/>
          <w:color w:val="17251F"/>
          <w:sz w:val="22"/>
        </w:rPr>
        <w:t>Sama seperti kedaruratan panas (lihat MK02 Modul 3), pencegahan dehidrasi jauh lebih efisien dibanding penanganan setelah terjadi. Edukasi mencakup jadwal minum teratur (bukan hanya saat haus), pengenalan warna urin sebagai indikator sederhana status hidrasi, dan pentingnya membawa air minum pribadi saat beraktivitas di luar pemondokan.</w:t>
      </w:r>
    </w:p>
    <w:p>
      <w:pPr>
        <w:spacing w:before="200" w:after="80"/>
      </w:pPr>
      <w:r>
        <w:rPr>
          <w:rFonts w:ascii="Cambria" w:hAnsi="Cambria" w:eastAsia="Cambria" w:cs="Cambria"/>
          <w:b/>
          <w:i w:val="0"/>
          <w:color w:val="123D33"/>
          <w:sz w:val="24"/>
        </w:rPr>
        <w:t>C.6 Interaksi Dehidrasi dengan Komorbid Kronik</w:t>
      </w:r>
    </w:p>
    <w:p>
      <w:pPr>
        <w:spacing w:after="160" w:line="276" w:lineRule="auto"/>
      </w:pPr>
      <w:r>
        <w:rPr>
          <w:rFonts w:ascii="Calibri" w:hAnsi="Calibri" w:eastAsia="Calibri" w:cs="Calibri"/>
          <w:b w:val="0"/>
          <w:i w:val="0"/>
          <w:color w:val="17251F"/>
          <w:sz w:val="22"/>
        </w:rPr>
        <w:t>Dehidrasi dapat memperberat kondisi komorbid yang sudah ada — memperberat hipotensi pada jemaah yang mengonsumsi obat antihipertensi, meningkatkan risiko trombosis pada jemaah dengan riwayat kardiovaskular, dan memengaruhi kadar gula darah jemaah diabetes. Dokter kloter perlu mempertimbangkan interaksi ini saat menyusun rencana rehidrasi bagi jemaah dengan komorbid kronik (lihat MK02 Modul 5).</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jemaah lanjut usia tidak pernah mengeluh haus namun tampak semakin lemas sepanjang hari. Dokter kloter yang proaktif menanyakan pola minum dan frekuensi buang air kecilnya menemukan bahwa jemaah tersebut hampir tidak minum sejak pagi karena khawatir sering ke kamar mandi di tengah antrean panjang. Pemeriksaan turgor kulit dan mukosa menunjukkan dehidrasi sedang meski tanpa keluhan haus — dokter kloter segera memulai rehidrasi oral bertahap dan mengedukasi jemaah untuk minum sesuai jadwal, bukan menunggu rasa haus muncul, sekaligus menyesuaikan strategi ini dengan mempertimbangkan obat antihipertensi yang sedang dikonsumsinya.</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"pedoman resmi rehidrasi oral WHO edisi terkini dan pedoman tatalaksana syok/dehidrasi kegiatan massal versi Indonesia"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(B2) — Bab 6.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