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left"/>
      </w:pPr>
      <w:r>
        <w:rPr>
          <w:rFonts w:ascii="Cambria" w:hAnsi="Cambria" w:eastAsia="Cambria" w:cs="Cambria"/>
          <w:b w:val="0"/>
          <w:i w:val="0"/>
          <w:color w:val="526059"/>
          <w:sz w:val="24"/>
        </w:rPr>
        <w:t>MK04 — Farmakologi Klinis dalam Kondisi Ekstrem</w:t>
      </w:r>
    </w:p>
    <w:p>
      <w:pPr>
        <w:spacing w:before="0" w:after="280"/>
        <w:pBdr>
          <w:bottom w:val="single" w:sz="6" w:space="4" w:color="B6862C"/>
        </w:pBdr>
      </w:pPr>
      <w:r>
        <w:rPr>
          <w:rFonts w:ascii="Cambria" w:hAnsi="Cambria" w:eastAsia="Cambria" w:cs="Cambria"/>
          <w:b/>
          <w:i w:val="0"/>
          <w:color w:val="123D33"/>
          <w:sz w:val="40"/>
        </w:rPr>
        <w:t>Modul 6: Kepatuhan Minum Obat dan Edukasi Jemaah Selama Ibadah</w:t>
      </w:r>
    </w:p>
    <w:p>
      <w:pPr>
        <w:spacing w:before="320" w:after="120"/>
        <w:pBdr>
          <w:bottom w:val="single" w:sz="4" w:space="4" w:color="1F6F5C"/>
        </w:pBdr>
      </w:pPr>
      <w:r>
        <w:rPr>
          <w:rFonts w:ascii="Cambria" w:hAnsi="Cambria" w:eastAsia="Cambria" w:cs="Cambria"/>
          <w:b/>
          <w:i w:val="0"/>
          <w:color w:val="1F6F5C"/>
          <w:sz w:val="28"/>
        </w:rPr>
        <w:t>A. Tujuan Pembelajaran</w:t>
      </w:r>
    </w:p>
    <w:p>
      <w:pPr>
        <w:spacing w:before="200" w:after="80"/>
      </w:pPr>
      <w:r>
        <w:rPr>
          <w:rFonts w:ascii="Cambria" w:hAnsi="Cambria" w:eastAsia="Cambria" w:cs="Cambria"/>
          <w:b/>
          <w:i w:val="0"/>
          <w:color w:val="123D33"/>
          <w:sz w:val="22"/>
        </w:rPr>
        <w:t>1. Pengetahuan</w:t>
      </w:r>
    </w:p>
    <w:p>
      <w:pPr>
        <w:pStyle w:val="ListBullet"/>
        <w:spacing w:after="80"/>
      </w:pPr>
      <w:r>
        <w:rPr>
          <w:rFonts w:ascii="Calibri" w:hAnsi="Calibri" w:eastAsia="Calibri" w:cs="Calibri"/>
          <w:b w:val="0"/>
          <w:i w:val="0"/>
          <w:color w:val="17251F"/>
          <w:sz w:val="22"/>
        </w:rPr>
        <w:t>Menjelaskan kepatuhan obat sebagai determinan utama pencegahan kegawatan komorbid kronik selama ibadah haji.</w:t>
      </w:r>
    </w:p>
    <w:p>
      <w:pPr>
        <w:pStyle w:val="ListBullet"/>
        <w:spacing w:after="80"/>
      </w:pPr>
      <w:r>
        <w:rPr>
          <w:rFonts w:ascii="Calibri" w:hAnsi="Calibri" w:eastAsia="Calibri" w:cs="Calibri"/>
          <w:b w:val="0"/>
          <w:i w:val="0"/>
          <w:color w:val="17251F"/>
          <w:sz w:val="22"/>
        </w:rPr>
        <w:t>Menguraikan hambatan kepatuhan yang paling umum ditemukan pada jemaah dan strategi edukasi yang sesuai.</w:t>
      </w:r>
    </w:p>
    <w:p>
      <w:pPr>
        <w:pStyle w:val="ListBullet"/>
        <w:spacing w:after="80"/>
      </w:pPr>
      <w:r>
        <w:rPr>
          <w:rFonts w:ascii="Calibri" w:hAnsi="Calibri" w:eastAsia="Calibri" w:cs="Calibri"/>
          <w:b w:val="0"/>
          <w:i w:val="0"/>
          <w:color w:val="17251F"/>
          <w:sz w:val="22"/>
        </w:rPr>
        <w:t>Menjelaskan pentingnya evaluasi efektivitas intervensi kepatuhan yang telah diterapkan.</w:t>
      </w:r>
    </w:p>
    <w:p>
      <w:pPr>
        <w:spacing w:before="200" w:after="80"/>
      </w:pPr>
      <w:r>
        <w:rPr>
          <w:rFonts w:ascii="Cambria" w:hAnsi="Cambria" w:eastAsia="Cambria" w:cs="Cambria"/>
          <w:b/>
          <w:i w:val="0"/>
          <w:color w:val="123D33"/>
          <w:sz w:val="22"/>
        </w:rPr>
        <w:t>2. Sikap</w:t>
      </w:r>
    </w:p>
    <w:p>
      <w:pPr>
        <w:pStyle w:val="ListBullet"/>
        <w:spacing w:after="80"/>
      </w:pPr>
      <w:r>
        <w:rPr>
          <w:rFonts w:ascii="Calibri" w:hAnsi="Calibri" w:eastAsia="Calibri" w:cs="Calibri"/>
          <w:b w:val="0"/>
          <w:i w:val="0"/>
          <w:color w:val="17251F"/>
          <w:sz w:val="22"/>
        </w:rPr>
        <w:t>Menunjukkan rasa ingin tahu terhadap akar penyebab ketidakpatuhan, bukan sekadar mengulang instruksi tanpa memahami hambatannya.</w:t>
      </w:r>
    </w:p>
    <w:p>
      <w:pPr>
        <w:pStyle w:val="ListBullet"/>
        <w:spacing w:after="80"/>
      </w:pPr>
      <w:r>
        <w:rPr>
          <w:rFonts w:ascii="Calibri" w:hAnsi="Calibri" w:eastAsia="Calibri" w:cs="Calibri"/>
          <w:b w:val="0"/>
          <w:i w:val="0"/>
          <w:color w:val="17251F"/>
          <w:sz w:val="22"/>
        </w:rPr>
        <w:t>Menghargai pentingnya melibatkan pendamping/keluarga sebagai mitra pengawasan tambahan.</w:t>
      </w:r>
    </w:p>
    <w:p>
      <w:pPr>
        <w:spacing w:before="200" w:after="80"/>
      </w:pPr>
      <w:r>
        <w:rPr>
          <w:rFonts w:ascii="Cambria" w:hAnsi="Cambria" w:eastAsia="Cambria" w:cs="Cambria"/>
          <w:b/>
          <w:i w:val="0"/>
          <w:color w:val="123D33"/>
          <w:sz w:val="22"/>
        </w:rPr>
        <w:t>3. Psikomotor</w:t>
      </w:r>
    </w:p>
    <w:p>
      <w:pPr>
        <w:pStyle w:val="ListBullet"/>
        <w:spacing w:after="80"/>
      </w:pPr>
      <w:r>
        <w:rPr>
          <w:rFonts w:ascii="Calibri" w:hAnsi="Calibri" w:eastAsia="Calibri" w:cs="Calibri"/>
          <w:b w:val="0"/>
          <w:i w:val="0"/>
          <w:color w:val="17251F"/>
          <w:sz w:val="22"/>
        </w:rPr>
        <w:t>Mendemonstrasikan algoritma intervensi kepatuhan obat praktis selama ibadah.</w:t>
      </w:r>
    </w:p>
    <w:p>
      <w:pPr>
        <w:pStyle w:val="ListBullet"/>
        <w:spacing w:after="80"/>
      </w:pPr>
      <w:r>
        <w:rPr>
          <w:rFonts w:ascii="Calibri" w:hAnsi="Calibri" w:eastAsia="Calibri" w:cs="Calibri"/>
          <w:b w:val="0"/>
          <w:i w:val="0"/>
          <w:color w:val="17251F"/>
          <w:sz w:val="22"/>
        </w:rPr>
        <w:t>Mempraktikkan teknik bertanya tidak menghakimi untuk menggali penyebab ketidakpatuhan.</w:t>
      </w:r>
    </w:p>
    <w:p>
      <w:pPr>
        <w:spacing w:before="320" w:after="120"/>
        <w:pBdr>
          <w:bottom w:val="single" w:sz="4" w:space="4" w:color="1F6F5C"/>
        </w:pBdr>
      </w:pPr>
      <w:r>
        <w:rPr>
          <w:rFonts w:ascii="Cambria" w:hAnsi="Cambria" w:eastAsia="Cambria" w:cs="Cambria"/>
          <w:b/>
          <w:i w:val="0"/>
          <w:color w:val="1F6F5C"/>
          <w:sz w:val="28"/>
        </w:rPr>
        <w:t>B. Deskripsi</w:t>
      </w:r>
    </w:p>
    <w:p>
      <w:pPr>
        <w:spacing w:after="160" w:line="276" w:lineRule="auto"/>
      </w:pPr>
      <w:r>
        <w:rPr>
          <w:rFonts w:ascii="Calibri" w:hAnsi="Calibri" w:eastAsia="Calibri" w:cs="Calibri"/>
          <w:b w:val="0"/>
          <w:i w:val="0"/>
          <w:color w:val="17251F"/>
          <w:sz w:val="22"/>
        </w:rPr>
        <w:t>Sebagian besar kegawatan yang ditangani dokter kloter sebenarnya dapat dicegah — bukan lewat obat baru, melainkan lewat kepatuhan terhadap obat yang sudah ada. Modul ini menutup rangkaian mata kuliah farmakologi klinis kondisi ekstrem dengan fokus pada faktor yang paling sering menentukan keberhasilan seluruh prinsip farmakoterapi yang telah dipelajari pada Modul 1–5: apakah jemaah benar-benar meminum obatnya sesuai anjuran, di tengah perubahan rutinitas dan kesibukan ibadah yang jauh berbeda dari kehidupan sehari-hari mereka.</w:t>
      </w:r>
    </w:p>
    <w:p>
      <w:pPr>
        <w:spacing w:before="320" w:after="120"/>
        <w:pBdr>
          <w:bottom w:val="single" w:sz="4" w:space="4" w:color="1F6F5C"/>
        </w:pBdr>
      </w:pPr>
      <w:r>
        <w:rPr>
          <w:rFonts w:ascii="Cambria" w:hAnsi="Cambria" w:eastAsia="Cambria" w:cs="Cambria"/>
          <w:b/>
          <w:i w:val="0"/>
          <w:color w:val="1F6F5C"/>
          <w:sz w:val="28"/>
        </w:rPr>
        <w:t>C. Materi Inti</w:t>
      </w:r>
    </w:p>
    <w:p>
      <w:pPr>
        <w:spacing w:before="200" w:after="80"/>
      </w:pPr>
      <w:r>
        <w:rPr>
          <w:rFonts w:ascii="Cambria" w:hAnsi="Cambria" w:eastAsia="Cambria" w:cs="Cambria"/>
          <w:b/>
          <w:i w:val="0"/>
          <w:color w:val="123D33"/>
          <w:sz w:val="24"/>
        </w:rPr>
        <w:t>C.1 Kepatuhan Obat sebagai Determinan Utama Pencegahan Kegawatan</w:t>
      </w:r>
    </w:p>
    <w:p>
      <w:pPr>
        <w:spacing w:after="160" w:line="276" w:lineRule="auto"/>
      </w:pPr>
      <w:r>
        <w:rPr>
          <w:rFonts w:ascii="Calibri" w:hAnsi="Calibri" w:eastAsia="Calibri" w:cs="Calibri"/>
          <w:b w:val="0"/>
          <w:i w:val="0"/>
          <w:color w:val="17251F"/>
          <w:sz w:val="22"/>
        </w:rPr>
        <w:t>Sebagian besar kegawatan komorbid kronik yang ditangani dokter kloter (dekompensasi jantung, krisis hipertensi, ketoasidosis diabetik — lihat MK02 Modul 4–5) dapat dicegah melalui kepatuhan pengobatan yang konsisten selama ibadah. Namun perubahan rutinitas, kelelahan fisik, dan kesibukan rangkaian ibadah membuat kepatuhan obat menjadi tantangan nyata bagi jemaah, terutama lanjut usia dengan regimen obat kompleks.</w:t>
      </w:r>
    </w:p>
    <w:p>
      <w:pPr>
        <w:spacing w:before="200" w:after="80"/>
      </w:pPr>
      <w:r>
        <w:rPr>
          <w:rFonts w:ascii="Cambria" w:hAnsi="Cambria" w:eastAsia="Cambria" w:cs="Cambria"/>
          <w:b/>
          <w:i w:val="0"/>
          <w:color w:val="123D33"/>
          <w:sz w:val="24"/>
        </w:rPr>
        <w:t>C.2 Hambatan Kepatuhan yang Umum Ditemukan</w:t>
      </w:r>
    </w:p>
    <w:p>
      <w:pPr>
        <w:spacing w:after="160" w:line="276" w:lineRule="auto"/>
      </w:pPr>
      <w:r>
        <w:rPr>
          <w:rFonts w:ascii="Calibri" w:hAnsi="Calibri" w:eastAsia="Calibri" w:cs="Calibri"/>
          <w:b w:val="0"/>
          <w:i w:val="0"/>
          <w:color w:val="17251F"/>
          <w:sz w:val="22"/>
        </w:rPr>
        <w:t>Hambatan kepatuhan yang paling sering dilaporkan meliputi lupa membawa obat saat beraktivitas di luar pemondokan, kebingungan jadwal minum obat akibat perubahan waktu dan pola aktivitas, anggapan keliru bahwa berhenti sementara obat kronik tidak berbahaya selama “merasa sehat”, dan keterbatasan pemahaman jemaah dengan literasi kesehatan rendah.</w:t>
      </w:r>
    </w:p>
    <w:tbl>
      <w:tblPr>
        <w:tblW w:type="auto" w:w="0"/>
        <w:jc w:val="center"/>
        <w:tblLayout w:type="fixed"/>
        <w:tblLook w:firstColumn="1" w:firstRow="1" w:lastColumn="0" w:lastRow="0" w:noHBand="0" w:noVBand="1" w:val="04A0"/>
      </w:tblPr>
      <w:tblGrid>
        <w:gridCol w:w="4536"/>
        <w:gridCol w:w="4536"/>
      </w:tblGrid>
      <w:tr>
        <w:tc>
          <w:tcPr>
            <w:tcW w:type="dxa" w:w="3402"/>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Hambatan</w:t>
            </w:r>
          </w:p>
        </w:tc>
        <w:tc>
          <w:tcPr>
            <w:tcW w:type="dxa" w:w="5669"/>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Strategi Edukasi</w:t>
            </w:r>
          </w:p>
        </w:tc>
      </w:tr>
      <w:tr>
        <w:tc>
          <w:tcPr>
            <w:tcW w:type="dxa" w:w="3402"/>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Lupa membawa obat saat beraktivitas</w:t>
            </w:r>
          </w:p>
        </w:tc>
        <w:tc>
          <w:tcPr>
            <w:tcW w:type="dxa" w:w="5669"/>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Sarankan tas kecil obat yang selalu dibawa, kaitkan dengan rutinitas ibadah</w:t>
            </w:r>
          </w:p>
        </w:tc>
      </w:tr>
      <w:tr>
        <w:tc>
          <w:tcPr>
            <w:tcW w:type="dxa" w:w="3402"/>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Kebingungan jadwal minum obat</w:t>
            </w:r>
          </w:p>
        </w:tc>
        <w:tc>
          <w:tcPr>
            <w:tcW w:type="dxa" w:w="5669"/>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Kaitkan jadwal obat dengan waktu shalat sebagai penanda familiar</w:t>
            </w:r>
          </w:p>
        </w:tc>
      </w:tr>
      <w:tr>
        <w:tc>
          <w:tcPr>
            <w:tcW w:type="dxa" w:w="3402"/>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Anggapan boleh berhenti obat saat “merasa sehat”</w:t>
            </w:r>
          </w:p>
        </w:tc>
        <w:tc>
          <w:tcPr>
            <w:tcW w:type="dxa" w:w="5669"/>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Edukasi bahwa kondisi terkontrol adalah hasil obat, bukan tanda boleh berhenti</w:t>
            </w:r>
          </w:p>
        </w:tc>
      </w:tr>
      <w:tr>
        <w:tc>
          <w:tcPr>
            <w:tcW w:type="dxa" w:w="3402"/>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Literasi kesehatan rendah</w:t>
            </w:r>
          </w:p>
        </w:tc>
        <w:tc>
          <w:tcPr>
            <w:tcW w:type="dxa" w:w="5669"/>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Gunakan bahasa sederhana, libatkan pendamping/keluarga sekelompok</w:t>
            </w:r>
          </w:p>
        </w:tc>
      </w:tr>
    </w:tbl>
    <w:p>
      <w:pPr>
        <w:spacing w:after="80"/>
      </w:pPr>
    </w:p>
    <w:p>
      <w:pPr>
        <w:spacing w:before="200" w:after="80"/>
      </w:pPr>
      <w:r>
        <w:rPr>
          <w:rFonts w:ascii="Cambria" w:hAnsi="Cambria" w:eastAsia="Cambria" w:cs="Cambria"/>
          <w:b/>
          <w:i w:val="0"/>
          <w:color w:val="123D33"/>
          <w:sz w:val="24"/>
        </w:rPr>
        <w:t>C.3 Algoritma Intervensi Kepatuhan Praktis</w:t>
      </w:r>
    </w:p>
    <w:tbl>
      <w:tblPr>
        <w:tblW w:type="auto" w:w="0"/>
        <w:jc w:val="center"/>
        <w:tblLayout w:type="autofit"/>
        <w:tblLook w:firstColumn="1" w:firstRow="1" w:lastColumn="0" w:lastRow="0" w:noHBand="0" w:noVBand="1" w:val="04A0"/>
      </w:tblPr>
      <w:tblGrid>
        <w:gridCol w:w="9072"/>
      </w:tblGrid>
      <w:tr>
        <w:tc>
          <w:tcPr>
            <w:tcW w:type="dxa" w:w="9072"/>
            <w:shd w:val="clear" w:color="auto" w:fill="E8F2EE"/>
            <w:tcBorders>
              <w:left w:val="single" w:sz="18" w:color="1F6F5C"/>
              <w:top w:val="nil"/>
              <w:bottom w:val="nil"/>
              <w:right w:val="nil"/>
            </w:tcBorders>
            <w:tcMar>
              <w:top w:w="120" w:type="dxa"/>
              <w:bottom w:w="120" w:type="dxa"/>
              <w:left w:w="200" w:type="dxa"/>
              <w:right w:w="200" w:type="dxa"/>
            </w:tcMar>
          </w:tcPr>
          <w:p>
            <w:r/>
            <w:r>
              <w:rPr>
                <w:rFonts w:ascii="Cambria" w:hAnsi="Cambria" w:eastAsia="Cambria" w:cs="Cambria"/>
                <w:b/>
                <w:i w:val="0"/>
                <w:color w:val="123D33"/>
                <w:sz w:val="22"/>
              </w:rPr>
              <w:t>Algoritma C.3 — Intervensi Kepatuhan Obat Selama Ibadah</w:t>
            </w:r>
          </w:p>
          <w:p>
            <w:r>
              <w:rPr>
                <w:rFonts w:ascii="Calibri" w:hAnsi="Calibri" w:eastAsia="Calibri" w:cs="Calibri"/>
                <w:b w:val="0"/>
                <w:i w:val="0"/>
                <w:color w:val="17251F"/>
                <w:sz w:val="21"/>
              </w:rPr>
              <w:t>1) Identifikasi jemaah dengan regimen obat kompleks (lebih dari tiga jenis obat) sejak awal fellowship melalui manifest risiko → 2) Berikan edukasi terstruktur mengenai pentingnya kepatuhan pada saat kontak pertama, gunakan bahasa sederhana dan analogi relevan → 3) Sarankan alat bantu kepatuhan sederhana (kotak obat harian, pengingat berbasis jadwal shalat) → 4) Lakukan pengecekan kepatuhan berkala melalui pertanyaan langsung yang tidak menghakimi (“Bagaimana Bapak/Ibu mengatur waktu minum obat selama di sini?”) → 5) Bila ditemukan ketidakpatuhan, gali penyebabnya dan berikan solusi spesifik, bukan sekadar mengulang instruksi yang sama.</w:t>
            </w:r>
          </w:p>
        </w:tc>
      </w:tr>
    </w:tbl>
    <w:p>
      <w:pPr>
        <w:spacing w:after="80"/>
      </w:pPr>
    </w:p>
    <w:p>
      <w:pPr>
        <w:spacing w:before="200" w:after="80"/>
      </w:pPr>
      <w:r>
        <w:rPr>
          <w:rFonts w:ascii="Cambria" w:hAnsi="Cambria" w:eastAsia="Cambria" w:cs="Cambria"/>
          <w:b/>
          <w:i w:val="0"/>
          <w:color w:val="123D33"/>
          <w:sz w:val="24"/>
        </w:rPr>
        <w:t>C.4 Peran Pendamping dan Ketua Kelompok</w:t>
      </w:r>
    </w:p>
    <w:p>
      <w:pPr>
        <w:spacing w:after="160" w:line="276" w:lineRule="auto"/>
      </w:pPr>
      <w:r>
        <w:rPr>
          <w:rFonts w:ascii="Calibri" w:hAnsi="Calibri" w:eastAsia="Calibri" w:cs="Calibri"/>
          <w:b w:val="0"/>
          <w:i w:val="0"/>
          <w:color w:val="17251F"/>
          <w:sz w:val="22"/>
        </w:rPr>
        <w:t>Dokter kloter tidak dapat memantau kepatuhan setiap jemaah secara individual sepanjang waktu. Melibatkan pendamping kelompok, ketua rombongan, atau anggota keluarga yang berangkat bersama sebagai “mata dan telinga” tambahan untuk mengingatkan kepatuhan obat adalah strategi yang efisien dan telah terbukti efektif pada berbagai program kesehatan komunitas serupa.</w:t>
      </w:r>
    </w:p>
    <w:p>
      <w:pPr>
        <w:spacing w:before="200" w:after="80"/>
      </w:pPr>
      <w:r>
        <w:rPr>
          <w:rFonts w:ascii="Cambria" w:hAnsi="Cambria" w:eastAsia="Cambria" w:cs="Cambria"/>
          <w:b/>
          <w:i w:val="0"/>
          <w:color w:val="123D33"/>
          <w:sz w:val="24"/>
        </w:rPr>
        <w:t>C.5 Mengevaluasi Efektivitas Intervensi Kepatuhan</w:t>
      </w:r>
    </w:p>
    <w:p>
      <w:pPr>
        <w:spacing w:after="160" w:line="276" w:lineRule="auto"/>
      </w:pPr>
      <w:r>
        <w:rPr>
          <w:rFonts w:ascii="Calibri" w:hAnsi="Calibri" w:eastAsia="Calibri" w:cs="Calibri"/>
          <w:b w:val="0"/>
          <w:i w:val="0"/>
          <w:color w:val="17251F"/>
          <w:sz w:val="22"/>
        </w:rPr>
        <w:t>Dokter kloter dianjurkan sesekali mengevaluasi apakah strategi kepatuhan yang telah diterapkan benar-benar berhasil — misalnya dengan membandingkan frekuensi keluhan terkait ketidakpatuhan obat sebelum dan sesudah intervensi, atau menanyakan langsung kepada jemaah apakah alat bantu yang disarankan benar-benar mereka gunakan. Bila suatu pendekatan ternyata kurang efektif untuk kelompok jemaah tertentu, dokter kloter perlu bersikap fleksibel mencoba pendekatan alternatif, alih-alih mengulangi strategi yang sama tanpa hasil yang membaik. Evaluasi sederhana ini juga menjadi bahan pembelajaran berharga bagi fellowship angkatan berikutnya.</w:t>
      </w:r>
    </w:p>
    <w:p>
      <w:pPr>
        <w:spacing w:before="200" w:after="80"/>
      </w:pPr>
      <w:r>
        <w:rPr>
          <w:rFonts w:ascii="Cambria" w:hAnsi="Cambria" w:eastAsia="Cambria" w:cs="Cambria"/>
          <w:b/>
          <w:i w:val="0"/>
          <w:color w:val="123D33"/>
          <w:sz w:val="24"/>
        </w:rPr>
        <w:t>C.6 Menutup Mata Kuliah: Integrasi Menyeluruh Prinsip Farmakologi</w:t>
      </w:r>
    </w:p>
    <w:p>
      <w:pPr>
        <w:spacing w:after="160" w:line="276" w:lineRule="auto"/>
      </w:pPr>
      <w:r>
        <w:rPr>
          <w:rFonts w:ascii="Calibri" w:hAnsi="Calibri" w:eastAsia="Calibri" w:cs="Calibri"/>
          <w:b w:val="0"/>
          <w:i w:val="0"/>
          <w:color w:val="17251F"/>
          <w:sz w:val="22"/>
        </w:rPr>
        <w:t>Seluruh prinsip farmakologi dalam mata kuliah ini — farmakokinetik pada kondisi ekstrem (Modul 1), penyesuaian aktivitas fisik (Modul 2), interaksi obat (Modul 3), penyimpanan (Modul 4), obat emergensi (Modul 5), dan kepatuhan (Modul 6) — melengkapi kompetensi farmakologi praktis yang diperkenalkan pada MK02 Modul 7, membentuk landasan pengambilan keputusan farmakoterapi yang aman bagi dokter kloter di lapangan.</w:t>
      </w:r>
    </w:p>
    <w:p>
      <w:pPr>
        <w:spacing w:before="320" w:after="120"/>
        <w:pBdr>
          <w:bottom w:val="single" w:sz="4" w:space="4" w:color="1F6F5C"/>
        </w:pBdr>
      </w:pPr>
      <w:r>
        <w:rPr>
          <w:rFonts w:ascii="Cambria" w:hAnsi="Cambria" w:eastAsia="Cambria" w:cs="Cambria"/>
          <w:b/>
          <w:i w:val="0"/>
          <w:color w:val="1F6F5C"/>
          <w:sz w:val="28"/>
        </w:rPr>
        <w:t>D. Ilustrasi Kasus (Vignette)</w:t>
      </w:r>
    </w:p>
    <w:p>
      <w:pPr>
        <w:spacing w:after="160" w:line="276" w:lineRule="auto"/>
      </w:pPr>
      <w:r>
        <w:rPr>
          <w:rFonts w:ascii="Calibri" w:hAnsi="Calibri" w:eastAsia="Calibri" w:cs="Calibri"/>
          <w:b w:val="0"/>
          <w:i w:val="0"/>
          <w:color w:val="17251F"/>
          <w:sz w:val="22"/>
        </w:rPr>
        <w:t>Seorang jemaah lansia berhenti minum obat hipertensinya karena merasa “sudah sehat” selama beberapa hari pertama di Tanah Suci. Alih-alih hanya mengingatkan untuk minum obat kembali, dokter kloter menjelaskan dengan analogi sederhana bahwa kondisi terkontrolnya justru adalah hasil dari obat itu sendiri — penjelasan yang mengubah pemahamannya secara mendasar, bukan sekadar kepatuhan sesaat. Beberapa minggu kemudian, dokter kloter mengevaluasi kembali dan menemukan bahwa jemaah tersebut kini menggunakan kotak obat harian yang disarankan dengan konsisten, sementara pendekatan serupa ternyata kurang efektif untuk jemaah lain yang lebih memilih pengingat dari anak yang mendampinginya.</w:t>
      </w:r>
    </w:p>
    <w:p>
      <w:pPr>
        <w:spacing w:before="320" w:after="120"/>
        <w:pBdr>
          <w:bottom w:val="single" w:sz="4" w:space="4" w:color="1F6F5C"/>
        </w:pBdr>
      </w:pPr>
      <w:r>
        <w:rPr>
          <w:rFonts w:ascii="Cambria" w:hAnsi="Cambria" w:eastAsia="Cambria" w:cs="Cambria"/>
          <w:b/>
          <w:i w:val="0"/>
          <w:color w:val="1F6F5C"/>
          <w:sz w:val="28"/>
        </w:rPr>
        <w:t>E. Referensi</w:t>
      </w:r>
    </w:p>
    <w:p>
      <w:pPr>
        <w:spacing w:after="80" w:line="276" w:lineRule="auto"/>
      </w:pPr>
      <w:r>
        <w:rPr>
          <w:rFonts w:ascii="Calibri" w:hAnsi="Calibri" w:eastAsia="Calibri" w:cs="Calibri"/>
          <w:b w:val="0"/>
          <w:i w:val="0"/>
          <w:color w:val="17251F"/>
          <w:sz w:val="22"/>
        </w:rPr>
        <w:t>1. Sabaté E, editor. Adherence to Long-Term Therapies: Evidence for Action. Geneva: World Health Organization; 2003.</w:t>
      </w:r>
    </w:p>
    <w:p>
      <w:pPr>
        <w:spacing w:after="80" w:line="276" w:lineRule="auto"/>
      </w:pPr>
      <w:r>
        <w:rPr>
          <w:rFonts w:ascii="Calibri" w:hAnsi="Calibri" w:eastAsia="Calibri" w:cs="Calibri"/>
          <w:b w:val="0"/>
          <w:i w:val="0"/>
          <w:color w:val="17251F"/>
          <w:sz w:val="22"/>
        </w:rPr>
        <w:t>2. Buku Tematik Fellowship Kedokteran Haji (B3) — Bab 6. Perpustakaan Digital ABBA.</w:t>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eastAsia="Calibri" w:cs="Calibri"/>
        <w:b w:val="0"/>
        <w:i w:val="0"/>
        <w:color w:val="526059"/>
        <w:sz w:val="18"/>
      </w:rP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Cambria" w:hAnsi="Cambria" w:eastAsia="Cambria" w:cs="Cambria"/>
        <w:b w:val="0"/>
        <w:i/>
        <w:color w:val="526059"/>
        <w:sz w:val="18"/>
      </w:rPr>
      <w:t>Ekosistem Pendidikan Kedokteran Haji</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color w:val="17251F"/>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