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MK06 — Logistik Medis dan Koordinasi TKHI Lapangan</w:t>
      </w:r>
    </w:p>
    <w:p>
      <w:pPr>
        <w:pBdr>
          <w:bottom w:val="single" w:color="B6862C" w:sz="12" w:space="6"/>
        </w:pBdr>
        <w:spacing w:after="300"/>
      </w:pPr>
      <w:r>
        <w:rPr>
          <w:rFonts w:ascii="Cambria" w:cs="Cambria" w:eastAsia="Cambria" w:hAnsi="Cambria"/>
          <w:b/>
          <w:bCs/>
          <w:color w:val="123D33"/>
          <w:sz w:val="40"/>
          <w:szCs w:val="40"/>
        </w:rPr>
        <w:t xml:space="preserve">Modul 6: Kesehatan Jiwa dan Pencegahan Burnout pada Tim Kesehatan Haji</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definisi burnout menurut WHO ICD-11 dan faktor risikonya dalam konteks tugas TKHI.</w:t>
      </w:r>
    </w:p>
    <w:p>
      <w:pPr>
        <w:pStyle w:val="ListParagraph"/>
        <w:numPr>
          <w:ilvl w:val="0"/>
          <w:numId w:val="1"/>
        </w:numPr>
        <w:spacing w:after="80"/>
      </w:pPr>
      <w:r>
        <w:rPr>
          <w:rFonts w:ascii="Calibri" w:cs="Calibri" w:eastAsia="Calibri" w:hAnsi="Calibri"/>
          <w:color w:val="17251F"/>
          <w:sz w:val="22"/>
          <w:szCs w:val="22"/>
        </w:rPr>
        <w:t xml:space="preserve">Menjelaskan tanda awal burnout yang berbeda dari kelelahan fisik biasa.</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Mendobrak stigma bahwa mengakui kesulitan emosional adalah tanda kelemahan profesional.</w:t>
      </w:r>
    </w:p>
    <w:p>
      <w:pPr>
        <w:pStyle w:val="ListParagraph"/>
        <w:numPr>
          <w:ilvl w:val="0"/>
          <w:numId w:val="1"/>
        </w:numPr>
        <w:spacing w:after="80"/>
      </w:pPr>
      <w:r>
        <w:rPr>
          <w:rFonts w:ascii="Calibri" w:cs="Calibri" w:eastAsia="Calibri" w:hAnsi="Calibri"/>
          <w:color w:val="17251F"/>
          <w:sz w:val="22"/>
          <w:szCs w:val="22"/>
        </w:rPr>
        <w:t xml:space="preserve">Menunjukkan keteladanan sebagai pemimpin tim dalam membangun lingkungan kerja yang suportif.</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Menerapkan algoritma deteksi dini dan respons burnout dalam tim kloter.</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Persiapan fellowship yang hanya berfokus pada kompetensi klinis mengabaikan risiko yang sama nyatanya bagi keberlangsungan tugas dokter kloter sepanjang musim: kelelahan emosional yang, bila tidak dikenali, dapat menurunkan kualitas keputusan klinis maupun kesejahteraan pribadi.</w:t>
      </w:r>
    </w:p>
    <w:p>
      <w:pPr>
        <w:spacing w:after="140" w:line="300"/>
      </w:pPr>
      <w:r>
        <w:rPr>
          <w:rFonts w:ascii="Calibri" w:cs="Calibri" w:eastAsia="Calibri" w:hAnsi="Calibri"/>
          <w:i w:val="false"/>
          <w:iCs w:val="false"/>
          <w:color w:val="17251F"/>
          <w:sz w:val="22"/>
          <w:szCs w:val="22"/>
        </w:rPr>
        <w:t xml:space="preserve">Modul ini penting karena kombinasi beban kerja tinggi tanpa jeda (Modul 4), tekanan emosional menghadapi kegawatan berulang, dan keterpisahan dari sistem dukungan sosial biasa menciptakan faktor risiko burnout yang signifikan bagi tenaga kesehatan kloter.</w:t>
      </w:r>
    </w:p>
    <w:p>
      <w:pPr>
        <w:pBdr>
          <w:bottom w:val="single" w:color="1F6F5C" w:sz="8" w:space="4"/>
        </w:pBdr>
        <w:spacing w:after="140" w:before="320"/>
      </w:pPr>
      <w:r>
        <w:rPr>
          <w:rFonts w:ascii="Cambria" w:cs="Cambria" w:eastAsia="Cambria" w:hAnsi="Cambria"/>
          <w:b/>
          <w:bCs/>
          <w:color w:val="1F6F5C"/>
          <w:sz w:val="27"/>
          <w:szCs w:val="27"/>
        </w:rPr>
        <w:t xml:space="preserve">C. Materi Inti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E1E9E5" w:sz="4"/>
              <w:left w:val="single" w:color="E1E9E5" w:sz="4"/>
              <w:bottom w:val="single" w:color="E1E9E5" w:sz="4"/>
              <w:right w:val="single" w:color="E1E9E5" w:sz="4"/>
            </w:tcBorders>
            <w:shd w:fill="FBF3E1" w:val="clear"/>
            <w:tcMar>
              <w:top w:type="dxa" w:w="140"/>
              <w:left w:type="dxa" w:w="180"/>
              <w:bottom w:type="dxa" w:w="140"/>
              <w:right w:type="dxa" w:w="180"/>
            </w:tcMar>
          </w:tcPr>
          <w:p>
            <w:r>
              <w:rPr>
                <w:rFonts w:ascii="Calibri" w:cs="Calibri" w:eastAsia="Calibri" w:hAnsi="Calibri"/>
                <w:color w:val="17251F"/>
                <w:sz w:val="22"/>
                <w:szCs w:val="22"/>
              </w:rPr>
              <w:t xml:space="preserve">[VALIDASI AHLI DIPERLUKAN] — Materi pada modul ini merupakan hasil audit substansi kurikulum terbaru. Seluruh isi wajib ditinjau oleh spesialis psikiatri/psikolog klinis sebelum digunakan sebagai bahan ajar resmi atau rujukan tata laksana.</w:t>
            </w:r>
          </w:p>
        </w:tc>
      </w:tr>
    </w:tbl>
    <w:p>
      <w:pPr>
        <w:spacing w:after="90" w:before="200"/>
      </w:pPr>
      <w:r>
        <w:rPr>
          <w:rFonts w:ascii="Cambria" w:cs="Cambria" w:eastAsia="Cambria" w:hAnsi="Cambria"/>
          <w:b/>
          <w:bCs/>
          <w:color w:val="123D33"/>
          <w:sz w:val="23"/>
          <w:szCs w:val="23"/>
        </w:rPr>
        <w:t xml:space="preserve">1. Burnout sebagai Risiko Nyata dalam Tugas Haji</w:t>
      </w:r>
    </w:p>
    <w:p>
      <w:pPr>
        <w:spacing w:after="140" w:line="300"/>
      </w:pPr>
      <w:r>
        <w:rPr>
          <w:rFonts w:ascii="Calibri" w:cs="Calibri" w:eastAsia="Calibri" w:hAnsi="Calibri"/>
          <w:i w:val="false"/>
          <w:iCs w:val="false"/>
          <w:color w:val="17251F"/>
          <w:sz w:val="22"/>
          <w:szCs w:val="22"/>
        </w:rPr>
        <w:t xml:space="preserve">Menurut definisi WHO dalam ICD-11, burnout adalah sindrom yang dikonseptualisasikan sebagai hasil dari stres kerja kronis yang tidak berhasil dikelola, dengan tiga dimensi: perasaan kehabisan energi/kelelahan, meningkatnya jarak mental atau sinisme terhadap pekerjaan, dan menurunnya efikasi profesional. WHO menegaskan burnout adalah fenomena okupasional, bukan kondisi medis. Kombinasi beban kerja tinggi tanpa jeda (Modul 4), tekanan emosional menghadapi kegawatan berulang, kondisi lingkungan ekstrem, dan keterpisahan dari sistem dukungan sosial biasa menciptakan faktor risiko burnout yang signifikan bagi tenaga kesehatan kloter. [VALIDASI AHLI DIPERLUKAN]</w:t>
      </w:r>
    </w:p>
    <w:p>
      <w:pPr>
        <w:spacing w:after="90" w:before="200"/>
      </w:pPr>
      <w:r>
        <w:rPr>
          <w:rFonts w:ascii="Cambria" w:cs="Cambria" w:eastAsia="Cambria" w:hAnsi="Cambria"/>
          <w:b/>
          <w:bCs/>
          <w:color w:val="123D33"/>
          <w:sz w:val="23"/>
          <w:szCs w:val="23"/>
        </w:rPr>
        <w:t xml:space="preserve">2. Mengenali Tanda Awal Burnout</w:t>
      </w:r>
    </w:p>
    <w:p>
      <w:pPr>
        <w:spacing w:after="140" w:line="300"/>
      </w:pPr>
      <w:r>
        <w:rPr>
          <w:rFonts w:ascii="Calibri" w:cs="Calibri" w:eastAsia="Calibri" w:hAnsi="Calibri"/>
          <w:i w:val="false"/>
          <w:iCs w:val="false"/>
          <w:color w:val="17251F"/>
          <w:sz w:val="22"/>
          <w:szCs w:val="22"/>
        </w:rPr>
        <w:t xml:space="preserve">Tanda awal yang perlu dikenali meliputi kelelahan emosional yang menetap meski telah beristirahat, sikap sinis atau menjauh secara emosional dari jemaah yang dilayani, dan penurunan rasa pencapaian/efektivitas diri. Tanda-tanda ini berbeda dari kelelahan fisik biasa yang dapat pulih dengan istirahat singkat — burnout bersifat lebih menetap. [VALIDASI AHLI DIPERLUKAN]</w:t>
      </w:r>
    </w:p>
    <w:p>
      <w:pPr>
        <w:spacing w:after="90" w:before="200"/>
      </w:pPr>
      <w:r>
        <w:rPr>
          <w:rFonts w:ascii="Cambria" w:cs="Cambria" w:eastAsia="Cambria" w:hAnsi="Cambria"/>
          <w:b/>
          <w:bCs/>
          <w:color w:val="123D33"/>
          <w:sz w:val="23"/>
          <w:szCs w:val="23"/>
        </w:rPr>
        <w:t xml:space="preserve">3. Algoritma Deteksi Dini dan Respons Tim</w:t>
      </w:r>
    </w:p>
    <w:p>
      <w:pPr>
        <w:pStyle w:val="ListParagraph"/>
        <w:numPr>
          <w:ilvl w:val="0"/>
          <w:numId w:val="1"/>
        </w:numPr>
        <w:spacing w:after="80"/>
      </w:pPr>
      <w:r>
        <w:rPr>
          <w:rFonts w:ascii="Calibri" w:cs="Calibri" w:eastAsia="Calibri" w:hAnsi="Calibri"/>
          <w:color w:val="17251F"/>
          <w:sz w:val="22"/>
          <w:szCs w:val="22"/>
        </w:rPr>
        <w:t xml:space="preserve">Lakukan pengecekan diri (self-check) berkala terhadap tanda kelelahan emosional, sinisme, dan penurunan efektivitas diri.</w:t>
      </w:r>
    </w:p>
    <w:p>
      <w:pPr>
        <w:pStyle w:val="ListParagraph"/>
        <w:numPr>
          <w:ilvl w:val="0"/>
          <w:numId w:val="1"/>
        </w:numPr>
        <w:spacing w:after="80"/>
      </w:pPr>
      <w:r>
        <w:rPr>
          <w:rFonts w:ascii="Calibri" w:cs="Calibri" w:eastAsia="Calibri" w:hAnsi="Calibri"/>
          <w:color w:val="17251F"/>
          <w:sz w:val="22"/>
          <w:szCs w:val="22"/>
        </w:rPr>
        <w:t xml:space="preserve">Amati tanda serupa pada rekan tim — perubahan perilaku, penarikan diri, penurunan kualitas kerja yang tidak biasa.</w:t>
      </w:r>
    </w:p>
    <w:p>
      <w:pPr>
        <w:pStyle w:val="ListParagraph"/>
        <w:numPr>
          <w:ilvl w:val="0"/>
          <w:numId w:val="1"/>
        </w:numPr>
        <w:spacing w:after="80"/>
      </w:pPr>
      <w:r>
        <w:rPr>
          <w:rFonts w:ascii="Calibri" w:cs="Calibri" w:eastAsia="Calibri" w:hAnsi="Calibri"/>
          <w:color w:val="17251F"/>
          <w:sz w:val="22"/>
          <w:szCs w:val="22"/>
        </w:rPr>
        <w:t xml:space="preserve">Bila ditemukan tanda awal, bicarakan secara terbuka dalam suasana yang tidak menghakimi.</w:t>
      </w:r>
    </w:p>
    <w:p>
      <w:pPr>
        <w:pStyle w:val="ListParagraph"/>
        <w:numPr>
          <w:ilvl w:val="0"/>
          <w:numId w:val="1"/>
        </w:numPr>
        <w:spacing w:after="80"/>
      </w:pPr>
      <w:r>
        <w:rPr>
          <w:rFonts w:ascii="Calibri" w:cs="Calibri" w:eastAsia="Calibri" w:hAnsi="Calibri"/>
          <w:color w:val="17251F"/>
          <w:sz w:val="22"/>
          <w:szCs w:val="22"/>
        </w:rPr>
        <w:t xml:space="preserve">Terapkan strategi mitigasi dasar: jadwal istirahat terlindungi, dukungan sesama tim, komunikasi dengan koordinator sektor bila beban kerja tidak proporsional.</w:t>
      </w:r>
    </w:p>
    <w:p>
      <w:pPr>
        <w:pStyle w:val="ListParagraph"/>
        <w:numPr>
          <w:ilvl w:val="0"/>
          <w:numId w:val="1"/>
        </w:numPr>
        <w:spacing w:after="80"/>
      </w:pPr>
      <w:r>
        <w:rPr>
          <w:rFonts w:ascii="Calibri" w:cs="Calibri" w:eastAsia="Calibri" w:hAnsi="Calibri"/>
          <w:color w:val="17251F"/>
          <w:sz w:val="22"/>
          <w:szCs w:val="22"/>
        </w:rPr>
        <w:t xml:space="preserve">Bila tanda signifikan/menetap, rujuk untuk konsultasi dengan psikolog/psikiater dalam struktur dukungan Kemenhaj. [VALIDASI AHLI DIPERLUKAN]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Tingkat</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Strategi Pencegahan</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Contoh Penerapan</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Individu</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Menjaga waktu istirahat dan pemulihan</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Menghormati jadwal istirahat meski beban kerja tinggi</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Individu</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Refleksi pasca-kasus berat</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Meluangkan waktu singkat memproses kasus sulit</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Tim</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Dukungan sesama rekan (peer support)</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Saling bertanya kabar, berbagi beban emosional</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Tim/Organisasi</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Rotasi tugas dan pembagian beban proporsional</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Menghindari satu anggota menanggung mayoritas kasus berat</w:t>
            </w:r>
          </w:p>
        </w:tc>
      </w:tr>
    </w:tbl>
    <w:p>
      <w:pPr>
        <w:spacing w:after="90" w:before="200"/>
      </w:pPr>
      <w:r>
        <w:rPr>
          <w:rFonts w:ascii="Cambria" w:cs="Cambria" w:eastAsia="Cambria" w:hAnsi="Cambria"/>
          <w:b/>
          <w:bCs/>
          <w:color w:val="123D33"/>
          <w:sz w:val="23"/>
          <w:szCs w:val="23"/>
        </w:rPr>
        <w:t xml:space="preserve">4. Mengatasi Stigma dan Peran Pemimpin Tim</w:t>
      </w:r>
    </w:p>
    <w:p>
      <w:pPr>
        <w:spacing w:after="140" w:line="300"/>
      </w:pPr>
      <w:r>
        <w:rPr>
          <w:rFonts w:ascii="Calibri" w:cs="Calibri" w:eastAsia="Calibri" w:hAnsi="Calibri"/>
          <w:i w:val="false"/>
          <w:iCs w:val="false"/>
          <w:color w:val="17251F"/>
          <w:sz w:val="22"/>
          <w:szCs w:val="22"/>
        </w:rPr>
        <w:t xml:space="preserve">Salah satu hambatan terbesar penanganan burnout adalah stigma bahwa mengakui kesulitan emosional dianggap tanda kelemahan profesional. Dokter kloter sebagai pemimpin tim dapat berperan mendobrak stigma ini dengan bersikap terbuka bahwa kelelahan emosional adalah respons manusiawi wajar, bukan kegagalan personal. Dukungan kesehatan jiwa idealnya tidak berhenti saat musim haji berakhir — dokter kloter yang mengalami kasus berat/traumatis dianjurkan memanfaatkan layanan dukungan pasca-penugasan. [VALIDASI AHLI DIPERLUKAN]</w:t>
      </w:r>
    </w:p>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Seorang dokter kloter yang biasanya sabar mendapati dirinya mulai merasa jenuh dan acuh terhadap keluhan jemaah yang sebenarnya wajar, bahkan setelah libur satu hari penuh. Menyadari ini bukan sekadar kelelahan biasa, ia mulai membicarakannya dengan rekan tim. Pada kesempatan lain, seorang dokter kloter yang secara terbuka mengakui kepada timnya bahwa ia merasa terguncang setelah kasus kegawatan berat mendapati anggota timnya juga menjadi lebih terbuka berbagi perasaan serupa — menciptakan iklim tim yang saling mendukung. [VALIDASI AHLI DIPERLUKAN]</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World Health Organization. Burn-out an "occupational phenomenon": International Classification of Diseases [Internet]. Geneva: WHO; 2019 [dikutip 2026 Jul 15]. Tersedia di: https://www.who.int/news/item/28-05-2019-burn-out-an-occupational-phenomenon-international-classification-of-diseases</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MK06 · Modul 6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2026-07-15T19:33:06.199Z</dcterms:created>
  <dcterms:modified xsi:type="dcterms:W3CDTF">2026-07-15T19:33:06.199Z</dcterms:modified>
</cp:coreProperties>
</file>

<file path=docProps/custom.xml><?xml version="1.0" encoding="utf-8"?>
<Properties xmlns="http://schemas.openxmlformats.org/officeDocument/2006/custom-properties" xmlns:vt="http://schemas.openxmlformats.org/officeDocument/2006/docPropsVTypes"/>
</file>