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MK08 — Manajemen Bencana Massal &amp; Simulasi Klinis Terintegrasi (Capstone)</w:t>
      </w:r>
    </w:p>
    <w:p>
      <w:pPr>
        <w:pBdr>
          <w:bottom w:val="single" w:color="B6862C" w:sz="12" w:space="6"/>
        </w:pBdr>
        <w:spacing w:after="300"/>
      </w:pPr>
      <w:r>
        <w:rPr>
          <w:rFonts w:ascii="Cambria" w:cs="Cambria" w:eastAsia="Cambria" w:hAnsi="Cambria"/>
          <w:b/>
          <w:bCs/>
          <w:color w:val="123D33"/>
          <w:sz w:val="40"/>
          <w:szCs w:val="40"/>
        </w:rPr>
        <w:t xml:space="preserve">Modul 7: Kesiapsiagaan Rumah Sakit Rujukan dan Sistem Rujukan Lintas-Negara</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arsitektur berjenjang sistem rujukan kesehatan haji dari TKHI hingga rumah sakit otoritas Arab Saudi.</w:t>
      </w:r>
    </w:p>
    <w:p>
      <w:pPr>
        <w:pStyle w:val="ListParagraph"/>
        <w:numPr>
          <w:ilvl w:val="0"/>
          <w:numId w:val="1"/>
        </w:numPr>
        <w:spacing w:after="80"/>
      </w:pPr>
      <w:r>
        <w:rPr>
          <w:rFonts w:ascii="Calibri" w:cs="Calibri" w:eastAsia="Calibri" w:hAnsi="Calibri"/>
          <w:color w:val="17251F"/>
          <w:sz w:val="22"/>
          <w:szCs w:val="22"/>
        </w:rPr>
        <w:t xml:space="preserve">Menjelaskan konsep surge capacity rumah sakit rujukan pada peristiwa MCI.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Memahami pentingnya kejelasan kriteria rujukan pada setiap jenjang agar tidak terjadi keterlambatan yang memperburuk prognosis.</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Mengidentifikasi kriteria dan alur rujukan berjenjang untuk kasus kompleks pasca-insiden massal.</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Setelah korban ditriase dan dievakuasi (Modul 3), pertanyaan praktis yang tersisa adalah: ke mana sesungguhnya mereka akan dibawa, dan seberapa siap sistem itu menampung mereka? Modul penutup dari rangkaian pembahasan bencana massal ini menjawab pertanyaan tersebut.</w:t>
      </w:r>
    </w:p>
    <w:p>
      <w:pPr>
        <w:spacing w:after="140" w:line="300"/>
      </w:pPr>
      <w:r>
        <w:rPr>
          <w:rFonts w:ascii="Calibri" w:cs="Calibri" w:eastAsia="Calibri" w:hAnsi="Calibri"/>
          <w:i w:val="false"/>
          <w:iCs w:val="false"/>
          <w:color w:val="17251F"/>
          <w:sz w:val="22"/>
          <w:szCs w:val="22"/>
        </w:rPr>
        <w:t xml:space="preserve">Modul ini menyatukan seluruh pembahasan manajemen bencana yang telah dibangun sejak Modul 1 ke dalam satu kerangka sistem rujukan yang menentukan keberhasilan akhir penanganan korban.</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Arsitektur Sistem Rujukan pada Konteks Haji</w:t>
      </w:r>
    </w:p>
    <w:p>
      <w:pPr>
        <w:spacing w:after="140" w:line="300"/>
      </w:pPr>
      <w:r>
        <w:rPr>
          <w:rFonts w:ascii="Calibri" w:cs="Calibri" w:eastAsia="Calibri" w:hAnsi="Calibri"/>
          <w:i w:val="false"/>
          <w:iCs w:val="false"/>
          <w:color w:val="17251F"/>
          <w:sz w:val="22"/>
          <w:szCs w:val="22"/>
        </w:rPr>
        <w:t xml:space="preserve">Sistem rujukan kesehatan haji melibatkan jenjang bertingkat: penanganan awal oleh TKHI di tingkat kloter, rujukan ke KKHI sebagai fasilitas rujukan tingkat menengah milik Indonesia, dan rujukan lanjutan ke rumah sakit otoritas Arab Saudi untuk kasus yang memerlukan penanganan lebih kompleks. Kesiapsiagaan sistem rujukan yang efektif menuntut kejelasan kriteria rujukan pada setiap jenjang serta kapasitas transportasi medis yang memadai, khususnya pada kondisi kepadatan crowd yang dapat menghambat mobilitas kendaraan evakuasi.</w:t>
      </w:r>
    </w:p>
    <w:p>
      <w:pPr>
        <w:spacing w:after="90" w:before="200"/>
      </w:pPr>
      <w:r>
        <w:rPr>
          <w:rFonts w:ascii="Cambria" w:cs="Cambria" w:eastAsia="Cambria" w:hAnsi="Cambria"/>
          <w:b/>
          <w:bCs/>
          <w:color w:val="123D33"/>
          <w:sz w:val="23"/>
          <w:szCs w:val="23"/>
        </w:rPr>
        <w:t xml:space="preserve">2. Kapasitas Surge (Lonjakan) Rumah Sakit Rujukan</w:t>
      </w:r>
    </w:p>
    <w:p>
      <w:pPr>
        <w:spacing w:after="140" w:line="300"/>
      </w:pPr>
      <w:r>
        <w:rPr>
          <w:rFonts w:ascii="Calibri" w:cs="Calibri" w:eastAsia="Calibri" w:hAnsi="Calibri"/>
          <w:i w:val="false"/>
          <w:iCs w:val="false"/>
          <w:color w:val="17251F"/>
          <w:sz w:val="22"/>
          <w:szCs w:val="22"/>
        </w:rPr>
        <w:t xml:space="preserve">Pada peristiwa MCI, rumah sakit rujukan menghadapi tuntutan surge capacity — kemampuan menangani lonjakan jumlah pasien yang jauh melampaui kapasitas operasional normal dalam waktu singkat. Kesiapsiagaan surge capacity mencakup protokol aktivasi cepat tempat tidur tambahan, mobilisasi tenaga kesehatan cadangan, dan penyesuaian sementara prioritas pelayanan non-darurat.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Jenjang Rujukan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Fungsi Utama</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Kriteria Rujukan ke Jenjang Berikutnya</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TKHI Kloter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Penanganan awal, stabilisasi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Kondisi memerlukan sumber daya di luar kapasitas kit kloter</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KKHI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Stabilisasi lanjutan, fasilitas menengah</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Kondisi memerlukan penanganan spesialistik/kompleks</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Rumah Sakit Arab Saudi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Penanganan definitif kompleks</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w:t>
            </w:r>
          </w:p>
        </w:tc>
      </w:tr>
    </w:tbl>
    <w:p>
      <w:pPr>
        <w:spacing w:after="90" w:before="200"/>
      </w:pPr>
      <w:r>
        <w:rPr>
          <w:rFonts w:ascii="Cambria" w:cs="Cambria" w:eastAsia="Cambria" w:hAnsi="Cambria"/>
          <w:b/>
          <w:bCs/>
          <w:color w:val="123D33"/>
          <w:sz w:val="23"/>
          <w:szCs w:val="23"/>
        </w:rPr>
        <w:t xml:space="preserve">3. Koordinasi Rujukan Lintas-Negara pada Kasus Kompleks</w:t>
      </w:r>
    </w:p>
    <w:p>
      <w:pPr>
        <w:spacing w:after="140" w:line="300"/>
      </w:pPr>
      <w:r>
        <w:rPr>
          <w:rFonts w:ascii="Calibri" w:cs="Calibri" w:eastAsia="Calibri" w:hAnsi="Calibri"/>
          <w:i w:val="false"/>
          <w:iCs w:val="false"/>
          <w:color w:val="17251F"/>
          <w:sz w:val="22"/>
          <w:szCs w:val="22"/>
        </w:rPr>
        <w:t xml:space="preserve">Kasus yang memerlukan rujukan ke rumah sakit otoritas Arab Saudi menuntut koordinasi efisien antara KKHI dan sistem kesehatan Arab Saudi, termasuk pertukaran informasi klinis yang cepat dan akurat — tantangan yang berkaitan erat dengan isu interoperabilitas data kesehatan (lihat MK07 Modul 4).</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Studi Kasus Nyata: laporan evaluasi pasca-insiden Mina 2015 mencatat bahwa satu pusat medis haji Iran di Mina saja menerima sekitar 1.633 korban yang dievakuasi ke fasilitasnya dalam waktu singkat — menegaskan bahwa kesiapsiagaan surge capacity bukan skenario hipotetis, melainkan kebutuhan nyata yang telah teruji dalam sejarah penyelenggaraan haji.</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korban crowd crush dengan cedera crush syndrome awal ditangani pertama oleh TKHI di lapangan, distabilkan sementara di KKHI, lalu dirujuk ke rumah sakit Arab Saudi untuk penanganan komplikasi ginjal yang lebih kompleks. Dokter kloter yang memahami kriteria rujukan pada setiap jenjang dapat segera mengenali bahwa kasus ini telah melampaui kapasitas kit kloter sejak awal, sehingga rujukan ke KKHI dilakukan tanpa penundaan yang dapat memperburuk prognosis komplikasi ginjal yang mengancam.</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Ganjeh M, et al. Mass fatalities in Hajj in 2015. [Internet]. 2016 [dikutip 2026 Jul 15]. Tersedia di: https://www.researchgate.net/publication/309711064_Mass_Fatalities_in_Hajj_in_2015</w:t>
      </w:r>
    </w:p>
    <w:p>
      <w:pPr>
        <w:spacing w:after="100"/>
        <w:ind w:left="360" w:hanging="360"/>
      </w:pPr>
      <w:r>
        <w:rPr>
          <w:rFonts w:ascii="Calibri" w:cs="Calibri" w:eastAsia="Calibri" w:hAnsi="Calibri"/>
          <w:color w:val="17251F"/>
          <w:sz w:val="20"/>
          <w:szCs w:val="20"/>
        </w:rPr>
        <w:t xml:space="preserve">2. Mehrvarz S, Manoochehry S, Bagheri MJ, Einollahi B, Ganjeh M, Doroudi T, Marashi SA. Evaluation of trauma management in injured Iranian Hajj pilgrims in 2015 Mina stampede. Iran Red Crescent Med J. 2021;23(3):e92. doi:10.32592/ircmj.2021.23.3.92. Tersedia di: https://www.ircmj.com/article_188691.html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MK08 · Modul 7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2026-07-15T19:33:07.250Z</dcterms:created>
  <dcterms:modified xsi:type="dcterms:W3CDTF">2026-07-15T19:33:07.250Z</dcterms:modified>
</cp:coreProperties>
</file>

<file path=docProps/custom.xml><?xml version="1.0" encoding="utf-8"?>
<Properties xmlns="http://schemas.openxmlformats.org/officeDocument/2006/custom-properties" xmlns:vt="http://schemas.openxmlformats.org/officeDocument/2006/docPropsVTypes"/>
</file>