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mbria" w:cs="Cambria" w:eastAsia="Cambria" w:hAnsi="Cambria"/>
          <w:color w:val="526059"/>
          <w:sz w:val="22"/>
          <w:szCs w:val="22"/>
        </w:rPr>
        <w:t xml:space="preserve">MK07 — Epidemiologi dan Surveilans Kesehatan Haji Terapan</w:t>
      </w:r>
    </w:p>
    <w:p>
      <w:pPr>
        <w:pBdr>
          <w:bottom w:val="single" w:color="B6862C" w:sz="12" w:space="6"/>
        </w:pBdr>
        <w:spacing w:after="300"/>
      </w:pPr>
      <w:r>
        <w:rPr>
          <w:rFonts w:ascii="Cambria" w:cs="Cambria" w:eastAsia="Cambria" w:hAnsi="Cambria"/>
          <w:b/>
          <w:bCs/>
          <w:color w:val="123D33"/>
          <w:sz w:val="40"/>
          <w:szCs w:val="40"/>
        </w:rPr>
        <w:t xml:space="preserve">Modul 8: Pemodelan Risiko dan Prediksi Kejadian Kesehatan Massal</w:t>
      </w:r>
    </w:p>
    <w:p>
      <w:pPr>
        <w:pBdr>
          <w:bottom w:val="single" w:color="1F6F5C" w:sz="8" w:space="4"/>
        </w:pBdr>
        <w:spacing w:after="140" w:before="320"/>
      </w:pPr>
      <w:r>
        <w:rPr>
          <w:rFonts w:ascii="Cambria" w:cs="Cambria" w:eastAsia="Cambria" w:hAnsi="Cambria"/>
          <w:b/>
          <w:bCs/>
          <w:color w:val="1F6F5C"/>
          <w:sz w:val="27"/>
          <w:szCs w:val="27"/>
        </w:rPr>
        <w:t xml:space="preserve">A. Tujuan Pembelajaran</w:t>
      </w:r>
    </w:p>
    <w:p>
      <w:pPr>
        <w:spacing w:after="90" w:before="200"/>
      </w:pPr>
      <w:r>
        <w:rPr>
          <w:rFonts w:ascii="Cambria" w:cs="Cambria" w:eastAsia="Cambria" w:hAnsi="Cambria"/>
          <w:b/>
          <w:bCs/>
          <w:color w:val="123D33"/>
          <w:sz w:val="23"/>
          <w:szCs w:val="23"/>
        </w:rPr>
        <w:t xml:space="preserve">Pengetahuan.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Menjelaskan tujuan pemodelan risiko dan variabel prediktor yang relevan dalam konteks kesehatan haji.</w:t>
      </w:r>
    </w:p>
    <w:p>
      <w:pPr>
        <w:pStyle w:val="ListParagraph"/>
        <w:numPr>
          <w:ilvl w:val="0"/>
          <w:numId w:val="1"/>
        </w:numPr>
        <w:spacing w:after="80"/>
      </w:pPr>
      <w:r>
        <w:rPr>
          <w:rFonts w:ascii="Calibri" w:cs="Calibri" w:eastAsia="Calibri" w:hAnsi="Calibri"/>
          <w:color w:val="17251F"/>
          <w:sz w:val="22"/>
          <w:szCs w:val="22"/>
        </w:rPr>
        <w:t xml:space="preserve">Menjelaskan trade-off antara akurasi prediktif dan interpretabilitas model.</w:t>
      </w:r>
    </w:p>
    <w:p>
      <w:pPr>
        <w:spacing w:after="90" w:before="200"/>
      </w:pPr>
      <w:r>
        <w:rPr>
          <w:rFonts w:ascii="Cambria" w:cs="Cambria" w:eastAsia="Cambria" w:hAnsi="Cambria"/>
          <w:b/>
          <w:bCs/>
          <w:color w:val="123D33"/>
          <w:sz w:val="23"/>
          <w:szCs w:val="23"/>
        </w:rPr>
        <w:t xml:space="preserve">Sikap.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Menghargai nilai model yang mudah dijelaskan kepada tim lapangan dibandingkan model kompleks yang sulit diinterpretasikan operasional.</w:t>
      </w:r>
    </w:p>
    <w:p>
      <w:pPr>
        <w:spacing w:after="90" w:before="200"/>
      </w:pPr>
      <w:r>
        <w:rPr>
          <w:rFonts w:ascii="Cambria" w:cs="Cambria" w:eastAsia="Cambria" w:hAnsi="Cambria"/>
          <w:b/>
          <w:bCs/>
          <w:color w:val="123D33"/>
          <w:sz w:val="23"/>
          <w:szCs w:val="23"/>
        </w:rPr>
        <w:t xml:space="preserve">Psikomotor. Setelah mempelajari modul ini, peserta mampu:</w:t>
      </w:r>
    </w:p>
    <w:p>
      <w:pPr>
        <w:pStyle w:val="ListParagraph"/>
        <w:numPr>
          <w:ilvl w:val="0"/>
          <w:numId w:val="1"/>
        </w:numPr>
        <w:spacing w:after="80"/>
      </w:pPr>
      <w:r>
        <w:rPr>
          <w:rFonts w:ascii="Calibri" w:cs="Calibri" w:eastAsia="Calibri" w:hAnsi="Calibri"/>
          <w:color w:val="17251F"/>
          <w:sz w:val="22"/>
          <w:szCs w:val="22"/>
        </w:rPr>
        <w:t xml:space="preserve">Menggunakan skor risiko harian sederhana (bila tersedia dari KKHI/Kemenkes) sebagai alat bantu keputusan operasional kloter.</w:t>
      </w:r>
    </w:p>
    <w:p>
      <w:pPr>
        <w:pBdr>
          <w:bottom w:val="single" w:color="1F6F5C" w:sz="8" w:space="4"/>
        </w:pBdr>
        <w:spacing w:after="140" w:before="320"/>
      </w:pPr>
      <w:r>
        <w:rPr>
          <w:rFonts w:ascii="Cambria" w:cs="Cambria" w:eastAsia="Cambria" w:hAnsi="Cambria"/>
          <w:b/>
          <w:bCs/>
          <w:color w:val="1F6F5C"/>
          <w:sz w:val="27"/>
          <w:szCs w:val="27"/>
        </w:rPr>
        <w:t xml:space="preserve">B. Deskripsi</w:t>
      </w:r>
    </w:p>
    <w:p>
      <w:pPr>
        <w:spacing w:after="140" w:line="300"/>
      </w:pPr>
      <w:r>
        <w:rPr>
          <w:rFonts w:ascii="Calibri" w:cs="Calibri" w:eastAsia="Calibri" w:hAnsi="Calibri"/>
          <w:i w:val="false"/>
          <w:iCs w:val="false"/>
          <w:color w:val="17251F"/>
          <w:sz w:val="22"/>
          <w:szCs w:val="22"/>
        </w:rPr>
        <w:t xml:space="preserve">Pemodelan risiko bukan sekadar topik akademik — bagi dokter kloter, model prediktif yang baik dapat langsung diterjemahkan menjadi keputusan operasional harian, seperti menentukan kloter atau kelompok jemaah mana yang perlu didampingi lebih ketat pada jam-jam tertentu.</w:t>
      </w:r>
    </w:p>
    <w:p>
      <w:pPr>
        <w:spacing w:after="140" w:line="300"/>
      </w:pPr>
      <w:r>
        <w:rPr>
          <w:rFonts w:ascii="Calibri" w:cs="Calibri" w:eastAsia="Calibri" w:hAnsi="Calibri"/>
          <w:i w:val="false"/>
          <w:iCs w:val="false"/>
          <w:color w:val="17251F"/>
          <w:sz w:val="22"/>
          <w:szCs w:val="22"/>
        </w:rPr>
        <w:t xml:space="preserve">Modul ini penting agar dokter kloter dapat menggunakan dan menginterpretasikan skor risiko yang mungkin disediakan KKHI/Kemenkes secara tepat, alih-alih memperlakukannya sebagai angka yang tidak dipahami maknanya.</w:t>
      </w:r>
    </w:p>
    <w:p>
      <w:pPr>
        <w:pBdr>
          <w:bottom w:val="single" w:color="1F6F5C" w:sz="8" w:space="4"/>
        </w:pBdr>
        <w:spacing w:after="140" w:before="320"/>
      </w:pPr>
      <w:r>
        <w:rPr>
          <w:rFonts w:ascii="Cambria" w:cs="Cambria" w:eastAsia="Cambria" w:hAnsi="Cambria"/>
          <w:b/>
          <w:bCs/>
          <w:color w:val="1F6F5C"/>
          <w:sz w:val="27"/>
          <w:szCs w:val="27"/>
        </w:rPr>
        <w:t xml:space="preserve">C. Materi Inti</w:t>
      </w:r>
    </w:p>
    <w:p>
      <w:pPr>
        <w:spacing w:after="90" w:before="200"/>
      </w:pPr>
      <w:r>
        <w:rPr>
          <w:rFonts w:ascii="Cambria" w:cs="Cambria" w:eastAsia="Cambria" w:hAnsi="Cambria"/>
          <w:b/>
          <w:bCs/>
          <w:color w:val="123D33"/>
          <w:sz w:val="23"/>
          <w:szCs w:val="23"/>
        </w:rPr>
        <w:t xml:space="preserve">1. Tujuan dan Manfaat Pemodelan Risiko bagi Operasional Lapangan</w:t>
      </w:r>
    </w:p>
    <w:p>
      <w:pPr>
        <w:spacing w:after="140" w:line="300"/>
      </w:pPr>
      <w:r>
        <w:rPr>
          <w:rFonts w:ascii="Calibri" w:cs="Calibri" w:eastAsia="Calibri" w:hAnsi="Calibri"/>
          <w:i w:val="false"/>
          <w:iCs w:val="false"/>
          <w:color w:val="17251F"/>
          <w:sz w:val="22"/>
          <w:szCs w:val="22"/>
        </w:rPr>
        <w:t xml:space="preserve">Pemodelan risiko bertujuan mengidentifikasi kombinasi faktor individu dan lingkungan yang paling memprediksi kejadian kesehatan massal, memungkinkan intervensi pencegahan yang lebih terarah — misalnya penjadwalan ulang aktivitas pada jam-jam berisiko tinggi bagi kelompok jemaah tertentu.</w:t>
      </w:r>
    </w:p>
    <w:p>
      <w:pPr>
        <w:spacing w:after="90" w:before="200"/>
      </w:pPr>
      <w:r>
        <w:rPr>
          <w:rFonts w:ascii="Cambria" w:cs="Cambria" w:eastAsia="Cambria" w:hAnsi="Cambria"/>
          <w:b/>
          <w:bCs/>
          <w:color w:val="123D33"/>
          <w:sz w:val="23"/>
          <w:szCs w:val="23"/>
        </w:rPr>
        <w:t xml:space="preserve">2. Variabel Prediktor yang Relevan</w:t>
      </w:r>
    </w:p>
    <w:p>
      <w:pPr>
        <w:spacing w:after="140" w:line="300"/>
      </w:pPr>
      <w:r>
        <w:rPr>
          <w:rFonts w:ascii="Calibri" w:cs="Calibri" w:eastAsia="Calibri" w:hAnsi="Calibri"/>
          <w:i w:val="false"/>
          <w:iCs w:val="false"/>
          <w:color w:val="17251F"/>
          <w:sz w:val="22"/>
          <w:szCs w:val="22"/>
        </w:rPr>
        <w:t xml:space="preserve">Variabel prediktor yang umum digunakan meliputi karakteristik individu (usia, komorbiditas — lihat MK05, riwayat kesehatan pra-keberangkatan), variabel lingkungan (suhu ambien, indeks panas, tingkat kepadatan crowd), serta variabel operasional (jarak dan waktu tempuh ke fasilitas kesehatan terdekat) — mencerminkan kerangka segitiga epidemiologi yang dimodifikasi pada Modul 1.</w:t>
      </w:r>
    </w:p>
    <w:p>
      <w:pPr>
        <w:spacing w:after="90" w:before="200"/>
      </w:pPr>
      <w:r>
        <w:rPr>
          <w:rFonts w:ascii="Cambria" w:cs="Cambria" w:eastAsia="Cambria" w:hAnsi="Cambria"/>
          <w:b/>
          <w:bCs/>
          <w:color w:val="123D33"/>
          <w:sz w:val="23"/>
          <w:szCs w:val="23"/>
        </w:rPr>
        <w:t xml:space="preserve">3. Trade-off Akurasi Prediktif dan Interpretabilitas</w:t>
      </w:r>
    </w:p>
    <w:p>
      <w:pPr>
        <w:spacing w:after="140" w:line="300"/>
      </w:pPr>
      <w:r>
        <w:rPr>
          <w:rFonts w:ascii="Calibri" w:cs="Calibri" w:eastAsia="Calibri" w:hAnsi="Calibri"/>
          <w:i w:val="false"/>
          <w:iCs w:val="false"/>
          <w:color w:val="17251F"/>
          <w:sz w:val="22"/>
          <w:szCs w:val="22"/>
        </w:rPr>
        <w:t xml:space="preserve">Pendekatan pemodelan dapat berkisar dari model regresi klasik (lebih mudah diinterpretasikan) hingga model machine learning yang lebih kompleks (dapat menangkap interaksi non-linear namun menuntut kehati-hatian interpretasi). Bagi keperluan operasional lapangan yang menuntut keputusan cepat dan dapat dijelaskan kepada tim, model yang lebih sederhana dan mudah dipahami sering kali lebih bermanfaat dibandingkan model yang sangat akurat namun sulit dijelaskan.</w:t>
      </w:r>
    </w:p>
    <w:p>
      <w:pPr>
        <w:spacing w:after="90" w:before="200"/>
      </w:pPr>
      <w:r>
        <w:rPr>
          <w:rFonts w:ascii="Cambria" w:cs="Cambria" w:eastAsia="Cambria" w:hAnsi="Cambria"/>
          <w:b/>
          <w:bCs/>
          <w:color w:val="123D33"/>
          <w:sz w:val="23"/>
          <w:szCs w:val="23"/>
        </w:rPr>
        <w:t xml:space="preserve">4. Validasi dan Keterbatasan Generalisasi</w:t>
      </w:r>
    </w:p>
    <w:p>
      <w:pPr>
        <w:spacing w:after="140" w:line="300"/>
      </w:pPr>
      <w:r>
        <w:rPr>
          <w:rFonts w:ascii="Calibri" w:cs="Calibri" w:eastAsia="Calibri" w:hAnsi="Calibri"/>
          <w:i w:val="false"/>
          <w:iCs w:val="false"/>
          <w:color w:val="17251F"/>
          <w:sz w:val="22"/>
          <w:szCs w:val="22"/>
        </w:rPr>
        <w:t xml:space="preserve">Model prediktif yang dikembangkan dari data satu atau beberapa musim haji perlu divalidasi secara hati-hati sebelum diterapkan pada musim berikutnya, mengingat variasi tahunan dalam cuaca, jumlah jemaah, dan komposisi demografis dapat menurunkan performa prediktif model bila tidak dikalibrasi ulang.</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E1E9E5" w:sz="4"/>
              <w:left w:val="single" w:color="E1E9E5" w:sz="4"/>
              <w:bottom w:val="single" w:color="E1E9E5" w:sz="4"/>
              <w:right w:val="single" w:color="E1E9E5" w:sz="4"/>
            </w:tcBorders>
            <w:shd w:fill="E8F2EE" w:val="clear"/>
            <w:tcMar>
              <w:top w:type="dxa" w:w="140"/>
              <w:left w:type="dxa" w:w="180"/>
              <w:bottom w:type="dxa" w:w="140"/>
              <w:right w:type="dxa" w:w="180"/>
            </w:tcMar>
          </w:tcPr>
          <w:p>
            <w:r>
              <w:rPr>
                <w:rFonts w:ascii="Calibri" w:cs="Calibri" w:eastAsia="Calibri" w:hAnsi="Calibri"/>
                <w:color w:val="17251F"/>
                <w:sz w:val="22"/>
                <w:szCs w:val="22"/>
              </w:rPr>
              <w:t xml:space="preserve">Penerapan Praktis: bila KKHI Sektor menyediakan skor risiko harian per kloter, dokter kloter dapat menggunakannya sebagai salah satu masukan (bukan satu-satunya dasar) untuk menentukan alokasi pendampingan ekstra pada jam-jam tertentu, dikombinasikan dengan pengamatan lapangan langsung.</w:t>
            </w:r>
          </w:p>
        </w:tc>
      </w:tr>
    </w:tbl>
    <w:p>
      <w:pPr>
        <w:pBdr>
          <w:bottom w:val="single" w:color="1F6F5C" w:sz="8" w:space="4"/>
        </w:pBdr>
        <w:spacing w:after="140" w:before="320"/>
      </w:pPr>
      <w:r>
        <w:rPr>
          <w:rFonts w:ascii="Cambria" w:cs="Cambria" w:eastAsia="Cambria" w:hAnsi="Cambria"/>
          <w:b/>
          <w:bCs/>
          <w:color w:val="1F6F5C"/>
          <w:sz w:val="27"/>
          <w:szCs w:val="27"/>
        </w:rPr>
        <w:t xml:space="preserve">D. Ilustrasi Kasus (Vignette)</w:t>
      </w:r>
    </w:p>
    <w:p>
      <w:pPr>
        <w:spacing w:after="140" w:line="300"/>
      </w:pPr>
      <w:r>
        <w:rPr>
          <w:rFonts w:ascii="Calibri" w:cs="Calibri" w:eastAsia="Calibri" w:hAnsi="Calibri"/>
          <w:i w:val="false"/>
          <w:iCs w:val="false"/>
          <w:color w:val="17251F"/>
          <w:sz w:val="22"/>
          <w:szCs w:val="22"/>
        </w:rPr>
        <w:t xml:space="preserve">Sebuah model prediktif sederhana yang disediakan KKHI Daker memberi skor risiko harian untuk tiap kloter berdasarkan komposisi usia dan suhu perkiraan hari itu. Seorang dokter kloter menggunakan skor ini untuk memutuskan bahwa kloternya perlu didampingi lebih ketat pada jam 11.00–14.00 siang itu, mengubah angka statistik menjadi keputusan operasional nyata — sekaligus tetap mengombinasikannya dengan pengamatan langsungnya di lapangan, bukan mengandalkan skor semata.</w:t>
      </w:r>
    </w:p>
    <w:p>
      <w:pPr>
        <w:pBdr>
          <w:bottom w:val="single" w:color="1F6F5C" w:sz="8" w:space="4"/>
        </w:pBdr>
        <w:spacing w:after="140" w:before="320"/>
      </w:pPr>
      <w:r>
        <w:rPr>
          <w:rFonts w:ascii="Cambria" w:cs="Cambria" w:eastAsia="Cambria" w:hAnsi="Cambria"/>
          <w:b/>
          <w:bCs/>
          <w:color w:val="1F6F5C"/>
          <w:sz w:val="27"/>
          <w:szCs w:val="27"/>
        </w:rPr>
        <w:t xml:space="preserve">E. Referensi</w:t>
      </w:r>
    </w:p>
    <w:p>
      <w:pPr>
        <w:spacing w:after="100"/>
        <w:ind w:left="360" w:hanging="360"/>
      </w:pPr>
      <w:r>
        <w:rPr>
          <w:rFonts w:ascii="Calibri" w:cs="Calibri" w:eastAsia="Calibri" w:hAnsi="Calibri"/>
          <w:color w:val="17251F"/>
          <w:sz w:val="20"/>
          <w:szCs w:val="20"/>
        </w:rPr>
        <w:t xml:space="preserve">1. Al-Tawfiq JA, Memish ZA. Health issues in the Hajj pilgrimage: a literature review. East Mediterr Health J. 2019;25(10). Tersedia di: https://www.emro.who.int/emhj-volume-25-2019/volume-25-issue-10/health-issues-in-the-hajj-pilgrimage-a-literature-review.html</w:t>
      </w:r>
    </w:p>
    <w:sectPr>
      <w:headerReference w:type="default" r:id="rId7"/>
      <w:footerReference w:type="default" r:id="rId8"/>
      <w:pgSz w:w="11907" w:h="16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26059"/>
        <w:sz w:val="16"/>
        <w:szCs w:val="16"/>
      </w:rPr>
      <w:t xml:space="preserve">MK07 · Modul 8  |  </w:t>
    </w:r>
    <w:r>
      <w:rPr>
        <w:rFonts w:ascii="Calibri" w:cs="Calibri" w:eastAsia="Calibri" w:hAnsi="Calibri"/>
        <w:color w:val="526059"/>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1E9E5" w:sz="4" w:space="4"/>
      </w:pBdr>
      <w:jc w:val="right"/>
    </w:pPr>
    <w:r>
      <w:rPr>
        <w:rFonts w:ascii="Cambria" w:cs="Cambria" w:eastAsia="Cambria" w:hAnsi="Cambria"/>
        <w:i/>
        <w:iCs/>
        <w:color w:val="526059"/>
        <w:sz w:val="16"/>
        <w:szCs w:val="16"/>
      </w:rPr>
      <w:t xml:space="preserve">Ekosistem Pendidikan Kedokteran Haji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7251F"/>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2026-07-15T19:33:06.771Z</dcterms:created>
  <dcterms:modified xsi:type="dcterms:W3CDTF">2026-07-15T19:33:06.771Z</dcterms:modified>
</cp:coreProperties>
</file>

<file path=docProps/custom.xml><?xml version="1.0" encoding="utf-8"?>
<Properties xmlns="http://schemas.openxmlformats.org/officeDocument/2006/custom-properties" xmlns:vt="http://schemas.openxmlformats.org/officeDocument/2006/docPropsVTypes"/>
</file>