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b/>
          <w:bCs/>
          <w:color w:val="526059"/>
          <w:sz w:val="20"/>
          <w:szCs w:val="20"/>
        </w:rPr>
        <w:t xml:space="preserve">MK01</w:t>
      </w:r>
    </w:p>
    <w:p>
      <w:pPr>
        <w:pBdr>
          <w:bottom w:val="single" w:color="B6862C" w:sz="14" w:space="6"/>
        </w:pBdr>
        <w:spacing w:after="300"/>
      </w:pPr>
      <w:r>
        <w:rPr>
          <w:rFonts w:ascii="Cambria" w:cs="Cambria" w:eastAsia="Cambria" w:hAnsi="Cambria"/>
          <w:b/>
          <w:bCs/>
          <w:color w:val="123D33"/>
          <w:sz w:val="34"/>
          <w:szCs w:val="34"/>
        </w:rPr>
        <w:t xml:space="preserve">Fondasi Kedokteran Haji Lintas Jalur — Modul 9: Integrasi Lintas Topik — Dari Fondasi Individual ke Sistem Kesehatan Haji Terpadu</w:t>
      </w:r>
    </w:p>
    <w:p>
      <w:pPr>
        <w:pBdr>
          <w:bottom w:val="single" w:color="1F6F5C" w:sz="8" w:space="4"/>
        </w:pBdr>
        <w:spacing w:after="200" w:before="400"/>
      </w:pPr>
      <w:r>
        <w:rPr>
          <w:rFonts w:ascii="Cambria" w:cs="Cambria" w:eastAsia="Cambria" w:hAnsi="Cambria"/>
          <w:b/>
          <w:bCs/>
          <w:color w:val="1F6F5C"/>
          <w:sz w:val="28"/>
          <w:szCs w:val="28"/>
        </w:rPr>
        <w:t xml:space="preserve">A. Tujuan Pembelajaran</w:t>
      </w:r>
    </w:p>
    <w:p>
      <w:pPr>
        <w:pStyle w:val="Heading4"/>
        <w:spacing w:after="120" w:before="240"/>
      </w:pPr>
      <w:r>
        <w:rPr>
          <w:rFonts w:ascii="Cambria" w:cs="Cambria" w:eastAsia="Cambria" w:hAnsi="Cambria"/>
          <w:b/>
          <w:bCs/>
          <w:color w:val="123D33"/>
          <w:sz w:val="24"/>
          <w:szCs w:val="24"/>
        </w:rPr>
        <w:t xml:space="preserve">1. Pengetahuan</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Menghubungkan konsep istithaah kesehatan, fisiologi lingkungan ekstrem, epidemiologi, dan farmakologi dasar sebagai satu rangkaian sebab-akibat yang saling memengaruhi.</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Menjelaskan bagaimana kelembagaan (TKHI-KKHI-Kemenhaj-otoritas Arab Saudi) dan kesiapsiagaan lintas negara menopang keputusan klinis di level individu jemaah.</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Mensintesiskan dimensi etika-budaya sebagai lapisan yang menyertai seluruh keputusan klinis-administratif sepanjang Modul 1 hingga Modul 8.</w:t>
      </w:r>
    </w:p>
    <w:p>
      <w:pPr>
        <w:pStyle w:val="Heading4"/>
        <w:spacing w:after="120" w:before="240"/>
      </w:pPr>
      <w:r>
        <w:rPr>
          <w:rFonts w:ascii="Cambria" w:cs="Cambria" w:eastAsia="Cambria" w:hAnsi="Cambria"/>
          <w:b/>
          <w:bCs/>
          <w:color w:val="123D33"/>
          <w:sz w:val="24"/>
          <w:szCs w:val="24"/>
        </w:rPr>
        <w:t xml:space="preserve">2. Sikap</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Menumbuhkan cara pandang sistemik yang memandang jemaah individual sebagai bagian dari sistem kesehatan haji yang lebih besar.</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Menghargai keterkaitan antar-disiplin sebagai ciri khas Kedokteran Haji yang tidak dapat dipisah-pisahkan dalam praktik nyata.</w:t>
      </w:r>
    </w:p>
    <w:p>
      <w:pPr>
        <w:pStyle w:val="Heading4"/>
        <w:spacing w:after="120" w:before="240"/>
      </w:pPr>
      <w:r>
        <w:rPr>
          <w:rFonts w:ascii="Cambria" w:cs="Cambria" w:eastAsia="Cambria" w:hAnsi="Cambria"/>
          <w:b/>
          <w:bCs/>
          <w:color w:val="123D33"/>
          <w:sz w:val="24"/>
          <w:szCs w:val="24"/>
        </w:rPr>
        <w:t xml:space="preserve">3. Psikomotor</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Menyusun peta konsep (concept map) yang menghubungkan seluruh topik Modul 1-8 dalam satu alur naratif perjalanan seorang jemaah dari pendaftaran hingga kepulangan.</w:t>
      </w:r>
    </w:p>
    <w:p>
      <w:pPr>
        <w:pBdr>
          <w:bottom w:val="single" w:color="1F6F5C" w:sz="8" w:space="4"/>
        </w:pBdr>
        <w:spacing w:after="200" w:before="400"/>
      </w:pPr>
      <w:r>
        <w:rPr>
          <w:rFonts w:ascii="Cambria" w:cs="Cambria" w:eastAsia="Cambria" w:hAnsi="Cambria"/>
          <w:b/>
          <w:bCs/>
          <w:color w:val="1F6F5C"/>
          <w:sz w:val="28"/>
          <w:szCs w:val="28"/>
        </w:rPr>
        <w:t xml:space="preserve">B. Deskripsi</w:t>
      </w:r>
    </w:p>
    <w:p>
      <w:pPr>
        <w:spacing w:after="160" w:line="300"/>
        <w:jc w:val="both"/>
      </w:pPr>
      <w:r>
        <w:rPr>
          <w:rFonts w:ascii="Calibri" w:cs="Calibri" w:eastAsia="Calibri" w:hAnsi="Calibri"/>
          <w:i w:val="false"/>
          <w:iCs w:val="false"/>
          <w:color w:val="17251F"/>
          <w:sz w:val="22"/>
          <w:szCs w:val="22"/>
        </w:rPr>
        <w:t xml:space="preserve">Delapan modul sebelumnya membahas topik-topik fondasi Kedokteran Haji secara terpisah agar setiap konsep dapat dipelajari dengan kedalaman yang memadai. Namun dalam praktik nyata di lapangan, seorang dokter kloter tidak pernah menghadapi 'kasus istithaah' atau 'kasus farmakologi' secara terisolasi—ia menghadapi satu jemaah utuh yang membawa seluruh dimensi tersebut sekaligus, dalam satu waktu, di tengah tekanan lingkungan dan sistem yang saling berinteraksi.</w:t>
      </w:r>
    </w:p>
    <w:p>
      <w:pPr>
        <w:spacing w:after="160" w:line="300"/>
        <w:jc w:val="both"/>
      </w:pPr>
      <w:r>
        <w:rPr>
          <w:rFonts w:ascii="Calibri" w:cs="Calibri" w:eastAsia="Calibri" w:hAnsi="Calibri"/>
          <w:i w:val="false"/>
          <w:iCs w:val="false"/>
          <w:color w:val="17251F"/>
          <w:sz w:val="22"/>
          <w:szCs w:val="22"/>
        </w:rPr>
        <w:t xml:space="preserve">Modul integratif ini penting sebagai jembatan sebelum peserta didik melanjutkan ke buku-buku jalur lanjutan, karena kemampuan menghubungkan (bukan sekadar mengingat) delapan topik fondasi inilah yang membedakan tenaga kesehatan haji yang kompeten secara sistemik dari yang hanya menguasai potongan-potongan pengetahuan teknis.</w:t>
      </w:r>
    </w:p>
    <w:p>
      <w:pPr>
        <w:pBdr>
          <w:bottom w:val="single" w:color="1F6F5C" w:sz="8" w:space="4"/>
        </w:pBdr>
        <w:spacing w:after="200" w:before="400"/>
      </w:pPr>
      <w:r>
        <w:rPr>
          <w:rFonts w:ascii="Cambria" w:cs="Cambria" w:eastAsia="Cambria" w:hAnsi="Cambria"/>
          <w:b/>
          <w:bCs/>
          <w:color w:val="1F6F5C"/>
          <w:sz w:val="28"/>
          <w:szCs w:val="28"/>
        </w:rPr>
        <w:t xml:space="preserve">C. Materi Inti</w:t>
      </w:r>
    </w:p>
    <w:p>
      <w:pPr>
        <w:pStyle w:val="Heading3"/>
        <w:spacing w:after="120" w:before="240"/>
      </w:pPr>
      <w:r>
        <w:rPr>
          <w:rFonts w:ascii="Cambria" w:cs="Cambria" w:eastAsia="Cambria" w:hAnsi="Cambria"/>
          <w:b/>
          <w:bCs/>
          <w:color w:val="123D33"/>
          <w:sz w:val="24"/>
          <w:szCs w:val="24"/>
        </w:rPr>
        <w:t xml:space="preserve">Dari Individu ke Sistem: Satu Rangkaian Sebab-Akibat</w:t>
      </w:r>
    </w:p>
    <w:p>
      <w:pPr>
        <w:spacing w:after="160" w:line="300"/>
        <w:jc w:val="both"/>
      </w:pPr>
      <w:r>
        <w:rPr>
          <w:rFonts w:ascii="Calibri" w:cs="Calibri" w:eastAsia="Calibri" w:hAnsi="Calibri"/>
          <w:i w:val="false"/>
          <w:iCs w:val="false"/>
          <w:color w:val="17251F"/>
          <w:sz w:val="22"/>
          <w:szCs w:val="22"/>
        </w:rPr>
        <w:t xml:space="preserve">Perhatikan bagaimana kedelapan modul sebelumnya sesungguhnya membentuk satu rangkaian yang saling terhubung. Pemahaman multidisiplin pada Modul 1 menjadi kerangka berpikir yang menaungi seluruh modul berikutnya. Konsep istithaah kesehatan pada Modul 2 menentukan siapa yang berangkat dan dengan syarat pendampingan seperti apa—keputusan ini kemudian berinteraksi langsung dengan fisiologi lingkungan ekstrem pada Modul 3, karena kategori istithaah seorang jemaah lanjut usia dengan gagal jantung terkompensasi sangat dipengaruhi oleh pemahaman tentang bagaimana panas, kepadatan, dan kelelahan akan membebani kondisi kardiovaskularnya di lapangan.</w:t>
      </w:r>
    </w:p>
    <w:p>
      <w:pPr>
        <w:spacing w:after="160" w:line="300"/>
        <w:jc w:val="both"/>
      </w:pPr>
      <w:r>
        <w:rPr>
          <w:rFonts w:ascii="Calibri" w:cs="Calibri" w:eastAsia="Calibri" w:hAnsi="Calibri"/>
          <w:i w:val="false"/>
          <w:iCs w:val="false"/>
          <w:color w:val="17251F"/>
          <w:sz w:val="22"/>
          <w:szCs w:val="22"/>
        </w:rPr>
        <w:t xml:space="preserve">Pola epidemiologi pada Modul 4 memberikan gambaran di mana dan kapan risiko-risiko fisiologis tersebut paling mungkin terwujud menjadi kegawatan nyata, yang pada gilirannya menjadi dasar bagi perencanaan farmakologi lapangan pada Modul 5—misalnya kesiapan cairan infus dan obat kardiovaskular di titik-titik dengan konsentrasi kasus tertinggi. Vaksinasi dan kesiapsiagaan lintas negara pada Modul 6 menambahkan lapisan risiko lain yang beroperasi pada skala populasi dan global, bukan hanya individual.</w:t>
      </w:r>
    </w:p>
    <w:p>
      <w:pPr>
        <w:pStyle w:val="Heading3"/>
        <w:spacing w:after="120" w:before="240"/>
      </w:pPr>
      <w:r>
        <w:rPr>
          <w:rFonts w:ascii="Cambria" w:cs="Cambria" w:eastAsia="Cambria" w:hAnsi="Cambria"/>
          <w:b/>
          <w:bCs/>
          <w:color w:val="123D33"/>
          <w:sz w:val="24"/>
          <w:szCs w:val="24"/>
        </w:rPr>
        <w:t xml:space="preserve">Kelembagaan sebagai Penopang Keputusan Klinis</w:t>
      </w:r>
    </w:p>
    <w:p>
      <w:pPr>
        <w:spacing w:after="160" w:line="300"/>
        <w:jc w:val="both"/>
      </w:pPr>
      <w:r>
        <w:rPr>
          <w:rFonts w:ascii="Calibri" w:cs="Calibri" w:eastAsia="Calibri" w:hAnsi="Calibri"/>
          <w:i w:val="false"/>
          <w:iCs w:val="false"/>
          <w:color w:val="17251F"/>
          <w:sz w:val="22"/>
          <w:szCs w:val="22"/>
        </w:rPr>
        <w:t xml:space="preserve">Modul 7 menunjukkan bahwa seluruh keputusan klinis di atas—penetapan istithaah, tata laksana kegawatan panas, penyesuaian dosis obat, maupun respons terhadap ancaman penyakit menular—tidak pernah terjadi dalam ruang hampa, melainkan selalu beroperasi dalam kerangka sistem TKHI-KKHI-Kemenhaj di satu sisi, dan otoritas kesehatan Arab Saudi di sisi lain. Seorang dokter kloter yang memahami keenam modul sebelumnya secara teknis, namun tidak memahami kapan dan bagaimana melakukan rujukan dalam sistem ini, akan kesulitan menerjemahkan pengetahuannya menjadi tindakan yang efektif di lapangan.</w:t>
      </w:r>
    </w:p>
    <w:p>
      <w:pPr>
        <w:spacing w:after="160" w:line="300"/>
        <w:jc w:val="both"/>
      </w:pPr>
      <w:r>
        <w:rPr>
          <w:rFonts w:ascii="Calibri" w:cs="Calibri" w:eastAsia="Calibri" w:hAnsi="Calibri"/>
          <w:i w:val="false"/>
          <w:iCs w:val="false"/>
          <w:color w:val="17251F"/>
          <w:sz w:val="22"/>
          <w:szCs w:val="22"/>
        </w:rPr>
        <w:t xml:space="preserve">Terakhir, Modul 8 menegaskan bahwa seluruh interaksi ini—mulai dari penyampaian hasil pemeriksaan istithaah, edukasi kepatuhan obat, hingga koordinasi rujukan lintas sistem—berlangsung dalam konteks keberagaman budaya, bahasa, dan makna spiritual yang menuntut kepekaan etika. Dimensi etika-budaya ini bukan modul terpisah yang berdiri sendiri di akhir, melainkan lapisan yang menyertai setiap keputusan pada kedelapan modul sebelumnya.</w:t>
      </w:r>
    </w:p>
    <w:tbl>
      <w:tblPr>
        <w:tblW w:type="dxa" w:w="9350"/>
        <w:tblBorders>
          <w:top w:val="single" w:color="E1E9E5" w:sz="4"/>
          <w:left w:val="single" w:color="E1E9E5" w:sz="4"/>
          <w:bottom w:val="single" w:color="E1E9E5" w:sz="4"/>
          <w:right w:val="single" w:color="E1E9E5" w:sz="4"/>
          <w:insideH w:val="none" w:color="FFFFFF" w:sz="0"/>
          <w:insideV w:val="none" w:color="FFFFFF" w:sz="0"/>
        </w:tblBorders>
      </w:tblPr>
      <w:tblGrid>
        <w:gridCol w:w="9350"/>
      </w:tblGrid>
      <w:tr>
        <w:tc>
          <w:tcPr>
            <w:tcW w:type="dxa" w:w="9350"/>
            <w:shd w:fill="E8F2EE" w:color="auto" w:val="clear"/>
            <w:tcMar>
              <w:top w:type="dxa" w:w="160"/>
              <w:left w:type="dxa" w:w="200"/>
              <w:bottom w:type="dxa" w:w="160"/>
              <w:right w:type="dxa" w:w="200"/>
            </w:tcMar>
          </w:tcPr>
          <w:p>
            <w:pPr>
              <w:spacing w:after="80" w:line="280"/>
            </w:pPr>
            <w:r>
              <w:rPr>
                <w:rFonts w:ascii="Calibri" w:cs="Calibri" w:eastAsia="Calibri" w:hAnsi="Calibri"/>
                <w:b/>
                <w:bCs/>
                <w:color w:val="123D33"/>
                <w:sz w:val="21"/>
                <w:szCs w:val="21"/>
              </w:rPr>
              <w:t xml:space="preserve">Alur Integratif Satu Jemaah</w:t>
            </w:r>
          </w:p>
          <w:p>
            <w:pPr>
              <w:spacing w:after="0" w:line="280"/>
            </w:pPr>
            <w:r>
              <w:rPr>
                <w:rFonts w:ascii="Calibri" w:cs="Calibri" w:eastAsia="Calibri" w:hAnsi="Calibri"/>
                <w:b w:val="false"/>
                <w:bCs w:val="false"/>
                <w:color w:val="123D33"/>
                <w:sz w:val="21"/>
                <w:szCs w:val="21"/>
              </w:rPr>
              <w:t xml:space="preserve">Pendaftaran &amp; SISKOHAT → Pemeriksaan Istithaah (M2) → Pembinaan Masa Tunggu → Kloter &amp; TKHI (M7) → Paparan Lingkungan Ekstrem (M3) selama ibadah → Pemantauan Epidemiologi &amp; Farmakologi Lapangan (M4-M5) → Kesiapsiagaan Lintas Negara (M6) → Rujukan KKHI/Arab Saudi (M7) → Komunikasi Etis Lintas Budaya (M8) sepanjang seluruh alur.</w:t>
            </w:r>
          </w:p>
        </w:tc>
      </w:tr>
    </w:tbl>
    <w:p>
      <w:pPr>
        <w:pBdr>
          <w:bottom w:val="single" w:color="1F6F5C" w:sz="8" w:space="4"/>
        </w:pBdr>
        <w:spacing w:after="200" w:before="400"/>
      </w:pPr>
      <w:r>
        <w:rPr>
          <w:rFonts w:ascii="Cambria" w:cs="Cambria" w:eastAsia="Cambria" w:hAnsi="Cambria"/>
          <w:b/>
          <w:bCs/>
          <w:color w:val="1F6F5C"/>
          <w:sz w:val="28"/>
          <w:szCs w:val="28"/>
        </w:rPr>
        <w:t xml:space="preserve">D. Ilustrasi Kasus (Vignette)</w:t>
      </w:r>
    </w:p>
    <w:p>
      <w:pPr>
        <w:spacing w:after="160" w:line="300"/>
        <w:jc w:val="both"/>
      </w:pPr>
      <w:r>
        <w:rPr>
          <w:rFonts w:ascii="Calibri" w:cs="Calibri" w:eastAsia="Calibri" w:hAnsi="Calibri"/>
          <w:i w:val="false"/>
          <w:iCs w:val="false"/>
          <w:color w:val="17251F"/>
          <w:sz w:val="22"/>
          <w:szCs w:val="22"/>
        </w:rPr>
        <w:t xml:space="preserve">Seorang jemaah perempuan berusia 68 tahun dengan diabetes tipe 2 dan hipertensi terkontrol dinyatakan memenuhi syarat istithaah dengan pendampingan pada pemeriksaan tahap kedua. Ia berangkat dalam satu kloter didampingi TKHI yang telah menerima ringkasan rekonsiliasi obatnya. Pada hari keempat, setelah rangkaian tawaf dan sai serta kurang tidur akibat aktivitas malam, ia mulai menunjukkan tanda dehidrasi ringan dan kebingungan ringan di tengah kepadatan menjelang wukuf. TKHI yang mendampinginya perlu memutuskan apakah memantau di tenda kloter, merujuk ke pos kesehatan terdekat, atau mengaktifkan jalur rujukan ke KKHI—sambil mempertimbangkan kekhawatiran keluarga yang menyertainya bahwa penundaan wukuf akan mengurangi kesempurnaan ibadahnya.</w:t>
      </w:r>
    </w:p>
    <w:p>
      <w:pPr>
        <w:spacing w:after="160" w:line="300"/>
        <w:jc w:val="both"/>
      </w:pPr>
      <w:r>
        <w:rPr>
          <w:rFonts w:ascii="Calibri" w:cs="Calibri" w:eastAsia="Calibri" w:hAnsi="Calibri"/>
          <w:i w:val="false"/>
          <w:iCs w:val="false"/>
          <w:color w:val="17251F"/>
          <w:sz w:val="22"/>
          <w:szCs w:val="22"/>
        </w:rPr>
        <w:t xml:space="preserve">Diskusikan: modul mana saja (1-8) yang relevan untuk dipertimbangkan TKHI dalam mengambil keputusan pada skenario ini? Bagaimana keterkaitan antar-modul tersebut memengaruhi kualitas keputusan yang diambil dibandingkan jika TKHI hanya mengandalkan satu modul saja?</w:t>
      </w:r>
    </w:p>
    <w:p>
      <w:pPr>
        <w:pBdr>
          <w:bottom w:val="single" w:color="1F6F5C" w:sz="8" w:space="4"/>
        </w:pBdr>
        <w:spacing w:after="200" w:before="400"/>
      </w:pPr>
      <w:r>
        <w:rPr>
          <w:rFonts w:ascii="Cambria" w:cs="Cambria" w:eastAsia="Cambria" w:hAnsi="Cambria"/>
          <w:b/>
          <w:bCs/>
          <w:color w:val="1F6F5C"/>
          <w:sz w:val="28"/>
          <w:szCs w:val="28"/>
        </w:rPr>
        <w:t xml:space="preserve">E. Referensi</w:t>
      </w:r>
    </w:p>
    <w:p>
      <w:pPr>
        <w:spacing w:after="140" w:line="280"/>
        <w:ind w:left="360" w:hanging="360"/>
      </w:pPr>
      <w:r>
        <w:rPr>
          <w:rFonts w:ascii="Calibri" w:cs="Calibri" w:eastAsia="Calibri" w:hAnsi="Calibri"/>
          <w:color w:val="17251F"/>
          <w:sz w:val="21"/>
          <w:szCs w:val="21"/>
        </w:rPr>
        <w:t xml:space="preserve">1. </w:t>
      </w:r>
      <w:r>
        <w:rPr>
          <w:rFonts w:ascii="Calibri" w:cs="Calibri" w:eastAsia="Calibri" w:hAnsi="Calibri"/>
          <w:color w:val="17251F"/>
          <w:sz w:val="21"/>
          <w:szCs w:val="21"/>
        </w:rPr>
        <w:t xml:space="preserve">Ahmed QA, Arabi YM, Memish ZA. Health risks at the Hajj. Lancet. 2006;367(9515):1008-15. Tersedia dari: https://doi.org/10.1016/S0140-6736(06)68429-8.</w:t>
      </w:r>
    </w:p>
    <w:p>
      <w:pPr>
        <w:spacing w:after="140" w:line="280"/>
        <w:ind w:left="360" w:hanging="360"/>
      </w:pPr>
      <w:r>
        <w:rPr>
          <w:rFonts w:ascii="Calibri" w:cs="Calibri" w:eastAsia="Calibri" w:hAnsi="Calibri"/>
          <w:color w:val="17251F"/>
          <w:sz w:val="21"/>
          <w:szCs w:val="21"/>
        </w:rPr>
        <w:t xml:space="preserve">2. </w:t>
      </w:r>
      <w:r>
        <w:rPr>
          <w:rFonts w:ascii="Calibri" w:cs="Calibri" w:eastAsia="Calibri" w:hAnsi="Calibri"/>
          <w:color w:val="17251F"/>
          <w:sz w:val="21"/>
          <w:szCs w:val="21"/>
        </w:rPr>
        <w:t xml:space="preserve">Memish ZA, Stephens GM, Steffen R, Ahmed QA. Emergence of medicine for mass gatherings: lessons from the Hajj. Lancet Infect Dis. 2012;12(1):56-65. Tersedia dari: https://www.thelancet.com/journals/laninf/article/PIIS1473-3099(11)70337-1/fulltext.</w:t>
      </w:r>
    </w:p>
    <w:p>
      <w:pPr>
        <w:spacing w:after="140" w:line="280"/>
        <w:ind w:left="360" w:hanging="360"/>
      </w:pPr>
      <w:r>
        <w:rPr>
          <w:rFonts w:ascii="Calibri" w:cs="Calibri" w:eastAsia="Calibri" w:hAnsi="Calibri"/>
          <w:color w:val="17251F"/>
          <w:sz w:val="21"/>
          <w:szCs w:val="21"/>
        </w:rPr>
        <w:t xml:space="preserve">3. </w:t>
      </w:r>
      <w:r>
        <w:rPr>
          <w:rFonts w:ascii="Calibri" w:cs="Calibri" w:eastAsia="Calibri" w:hAnsi="Calibri"/>
          <w:color w:val="17251F"/>
          <w:sz w:val="21"/>
          <w:szCs w:val="21"/>
        </w:rPr>
        <w:t xml:space="preserve">Kementerian Kesehatan Republik Indonesia. Peraturan Menteri Kesehatan Nomor 15 Tahun 2016 tentang Istithaah Kesehatan Jemaah Haji. Jakarta: Kemenkes RI; 2016. Tersedia dari: https://hukor.kemkes.go.id/uploads/produk_hukum/PMK_No._15_ttg_Istithaah_Kesehatan_Jamaah_Haji_.pdf.</w:t>
      </w:r>
    </w:p>
    <w:p>
      <w:pPr>
        <w:spacing w:after="140" w:line="280"/>
        <w:ind w:left="360" w:hanging="360"/>
      </w:pPr>
      <w:r>
        <w:rPr>
          <w:rFonts w:ascii="Calibri" w:cs="Calibri" w:eastAsia="Calibri" w:hAnsi="Calibri"/>
          <w:color w:val="17251F"/>
          <w:sz w:val="21"/>
          <w:szCs w:val="21"/>
        </w:rPr>
        <w:t xml:space="preserve">4. </w:t>
      </w:r>
      <w:r>
        <w:rPr>
          <w:rFonts w:ascii="Calibri" w:cs="Calibri" w:eastAsia="Calibri" w:hAnsi="Calibri"/>
          <w:color w:val="17251F"/>
          <w:sz w:val="21"/>
          <w:szCs w:val="21"/>
        </w:rPr>
        <w:t xml:space="preserve">Republik Indonesia. Undang-Undang Nomor 14 Tahun 2025 tentang Perubahan Ketiga atas Undang-Undang Nomor 8 Tahun 2019 tentang Penyelenggaraan Ibadah Haji dan Umrah (Lembaran Negara RI Tahun 2025 Nomor 139, Tambahan Lembaran Negara RI Nomor 7132). Jakarta: Sekretariat Negara RI; 2025. Tersedia dari: https://peraturan.bpk.go.id/Download/393571/UU%20Nomor%2014%20Tahun%202025.pdf.</w:t>
      </w:r>
    </w:p>
    <w:sectPr>
      <w:headerReference w:type="default" r:id="rId7"/>
      <w:footerReference w:type="default" r:id="rId8"/>
      <w:pgSz w:w="11906" w:h="16838" w:orient="portrait"/>
      <w:pgMar w:top="1418"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8"/>
        <w:szCs w:val="18"/>
      </w:rPr>
      <w:t xml:space="preserve"/>
    </w:r>
    <w:r>
      <w:rPr>
        <w:rFonts w:ascii="Calibri" w:cs="Calibri" w:eastAsia="Calibri" w:hAnsi="Calibri"/>
        <w:color w:val="5260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libri" w:cs="Calibri" w:eastAsia="Calibri" w:hAnsi="Calibri"/>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2026-07-16T00:49:13.992Z</dcterms:created>
  <dcterms:modified xsi:type="dcterms:W3CDTF">2026-07-16T00:49:13.992Z</dcterms:modified>
</cp:coreProperties>
</file>

<file path=docProps/custom.xml><?xml version="1.0" encoding="utf-8"?>
<Properties xmlns="http://schemas.openxmlformats.org/officeDocument/2006/custom-properties" xmlns:vt="http://schemas.openxmlformats.org/officeDocument/2006/docPropsVTypes"/>
</file>