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jc w:val="left"/>
      </w:pPr>
      <w:r>
        <w:rPr>
          <w:rFonts w:ascii="Cambria" w:hAnsi="Cambria" w:eastAsia="Cambria" w:cs="Cambria"/>
          <w:b w:val="0"/>
          <w:i w:val="0"/>
          <w:color w:val="526059"/>
          <w:sz w:val="24"/>
        </w:rPr>
        <w:t>MK04 — Farmakologi Klinis dalam Kondisi Ekstrem</w:t>
      </w:r>
    </w:p>
    <w:p>
      <w:pPr>
        <w:spacing w:before="0" w:after="280"/>
        <w:pBdr>
          <w:bottom w:val="single" w:sz="6" w:space="4" w:color="B6862C"/>
        </w:pBdr>
      </w:pPr>
      <w:r>
        <w:rPr>
          <w:rFonts w:ascii="Cambria" w:hAnsi="Cambria" w:eastAsia="Cambria" w:cs="Cambria"/>
          <w:b/>
          <w:i w:val="0"/>
          <w:color w:val="123D33"/>
          <w:sz w:val="40"/>
        </w:rPr>
        <w:t>Modul 9: Membangun Formularium Praktis Kit Dokter Kloter</w:t>
      </w:r>
    </w:p>
    <w:tbl>
      <w:tblPr>
        <w:tblW w:type="auto" w:w="0"/>
        <w:jc w:val="center"/>
        <w:tblLayout w:type="autofit"/>
        <w:tblLook w:firstColumn="1" w:firstRow="1" w:lastColumn="0" w:lastRow="0" w:noHBand="0" w:noVBand="1" w:val="04A0"/>
      </w:tblPr>
      <w:tblGrid>
        <w:gridCol w:w="9072"/>
      </w:tblGrid>
      <w:tr>
        <w:tc>
          <w:tcPr>
            <w:tcW w:type="dxa" w:w="9072"/>
            <w:shd w:val="clear" w:color="auto" w:fill="FBF3E1"/>
            <w:tcBorders>
              <w:left w:val="single" w:sz="18" w:color="B6862C"/>
              <w:top w:val="nil"/>
              <w:bottom w:val="nil"/>
              <w:right w:val="nil"/>
            </w:tcBorders>
            <w:tcMar>
              <w:top w:w="120" w:type="dxa"/>
              <w:bottom w:w="120" w:type="dxa"/>
              <w:left w:w="200" w:type="dxa"/>
              <w:right w:w="200" w:type="dxa"/>
            </w:tcMar>
          </w:tcPr>
          <w:p>
            <w:r/>
            <w:r>
              <w:rPr>
                <w:rFonts w:ascii="Calibri" w:hAnsi="Calibri" w:eastAsia="Calibri" w:cs="Calibri"/>
                <w:b w:val="0"/>
                <w:i/>
                <w:color w:val="17251F"/>
                <w:sz w:val="21"/>
              </w:rPr>
              <w:t>[VALIDASI AHLI DIPERLUKAN] — Daftar obat, dosis, dan kombinasi spesifik pada modul ini merupakan kerangka penyusunan, bukan formularium final. Wajib ditinjau dan disahkan oleh dokter spesialis farmakologi klinis/tim formularium resmi Kemenkes/IDI sebelum digunakan.</w:t>
            </w:r>
          </w:p>
        </w:tc>
      </w:tr>
    </w:tbl>
    <w:p>
      <w:pPr>
        <w:spacing w:after="80"/>
      </w:pPr>
    </w:p>
    <w:p>
      <w:pPr>
        <w:spacing w:before="320" w:after="120"/>
        <w:pBdr>
          <w:bottom w:val="single" w:sz="4" w:space="4" w:color="1F6F5C"/>
        </w:pBdr>
      </w:pPr>
      <w:r>
        <w:rPr>
          <w:rFonts w:ascii="Cambria" w:hAnsi="Cambria" w:eastAsia="Cambria" w:cs="Cambria"/>
          <w:b/>
          <w:i w:val="0"/>
          <w:color w:val="1F6F5C"/>
          <w:sz w:val="28"/>
        </w:rPr>
        <w:t>A. Tujuan Pembelajaran</w:t>
      </w:r>
    </w:p>
    <w:p>
      <w:pPr>
        <w:spacing w:before="200" w:after="80"/>
      </w:pPr>
      <w:r>
        <w:rPr>
          <w:rFonts w:ascii="Cambria" w:hAnsi="Cambria" w:eastAsia="Cambria" w:cs="Cambria"/>
          <w:b/>
          <w:i w:val="0"/>
          <w:color w:val="123D33"/>
          <w:sz w:val="22"/>
        </w:rPr>
        <w:t>1. Pengetahuan</w:t>
      </w:r>
    </w:p>
    <w:p>
      <w:pPr>
        <w:pStyle w:val="ListBullet"/>
        <w:spacing w:after="80"/>
      </w:pPr>
      <w:r>
        <w:rPr>
          <w:rFonts w:ascii="Calibri" w:hAnsi="Calibri" w:eastAsia="Calibri" w:cs="Calibri"/>
          <w:b w:val="0"/>
          <w:i w:val="0"/>
          <w:color w:val="17251F"/>
          <w:sz w:val="22"/>
        </w:rPr>
        <w:t>Mengintegrasikan seluruh prinsip Modul 1–8 ke dalam kerangka penyusunan formularium praktis kit dokter kloter.</w:t>
      </w:r>
    </w:p>
    <w:p>
      <w:pPr>
        <w:pStyle w:val="ListBullet"/>
        <w:spacing w:after="80"/>
      </w:pPr>
      <w:r>
        <w:rPr>
          <w:rFonts w:ascii="Calibri" w:hAnsi="Calibri" w:eastAsia="Calibri" w:cs="Calibri"/>
          <w:b w:val="0"/>
          <w:i w:val="0"/>
          <w:color w:val="17251F"/>
          <w:sz w:val="22"/>
        </w:rPr>
        <w:t>Menjelaskan kriteria pemilihan obat yang mempertimbangkan stabilitas suhu (Modul 4), risiko interaksi (Modul 3, 7), dan kepraktisan penggunaan lapangan.</w:t>
      </w:r>
    </w:p>
    <w:p>
      <w:pPr>
        <w:pStyle w:val="ListBullet"/>
        <w:spacing w:after="80"/>
      </w:pPr>
      <w:r>
        <w:rPr>
          <w:rFonts w:ascii="Calibri" w:hAnsi="Calibri" w:eastAsia="Calibri" w:cs="Calibri"/>
          <w:b w:val="0"/>
          <w:i w:val="0"/>
          <w:color w:val="17251F"/>
          <w:sz w:val="22"/>
        </w:rPr>
        <w:t>Menguraikan proses peninjauan dan pembaruan formularium berdasarkan pembelajaran musim sebelumnya (Modul 8).</w:t>
      </w:r>
    </w:p>
    <w:p>
      <w:pPr>
        <w:spacing w:before="200" w:after="80"/>
      </w:pPr>
      <w:r>
        <w:rPr>
          <w:rFonts w:ascii="Cambria" w:hAnsi="Cambria" w:eastAsia="Cambria" w:cs="Cambria"/>
          <w:b/>
          <w:i w:val="0"/>
          <w:color w:val="123D33"/>
          <w:sz w:val="22"/>
        </w:rPr>
        <w:t>2. Sikap</w:t>
      </w:r>
    </w:p>
    <w:p>
      <w:pPr>
        <w:pStyle w:val="ListBullet"/>
        <w:spacing w:after="80"/>
      </w:pPr>
      <w:r>
        <w:rPr>
          <w:rFonts w:ascii="Calibri" w:hAnsi="Calibri" w:eastAsia="Calibri" w:cs="Calibri"/>
          <w:b w:val="0"/>
          <w:i w:val="0"/>
          <w:color w:val="17251F"/>
          <w:sz w:val="22"/>
        </w:rPr>
        <w:t>Menunjukkan pendekatan sistematis dalam menyusun formularium, bukan berdasarkan preferensi atau kebiasaan pribadi semata.</w:t>
      </w:r>
    </w:p>
    <w:p>
      <w:pPr>
        <w:pStyle w:val="ListBullet"/>
        <w:spacing w:after="80"/>
      </w:pPr>
      <w:r>
        <w:rPr>
          <w:rFonts w:ascii="Calibri" w:hAnsi="Calibri" w:eastAsia="Calibri" w:cs="Calibri"/>
          <w:b w:val="0"/>
          <w:i w:val="0"/>
          <w:color w:val="17251F"/>
          <w:sz w:val="22"/>
        </w:rPr>
        <w:t>Menghargai pentingnya keterlibatan spesialis farmakologi klinis dalam validasi akhir formularium.</w:t>
      </w:r>
    </w:p>
    <w:p>
      <w:pPr>
        <w:spacing w:before="200" w:after="80"/>
      </w:pPr>
      <w:r>
        <w:rPr>
          <w:rFonts w:ascii="Cambria" w:hAnsi="Cambria" w:eastAsia="Cambria" w:cs="Cambria"/>
          <w:b/>
          <w:i w:val="0"/>
          <w:color w:val="123D33"/>
          <w:sz w:val="22"/>
        </w:rPr>
        <w:t>3. Psikomotor</w:t>
      </w:r>
    </w:p>
    <w:p>
      <w:pPr>
        <w:pStyle w:val="ListBullet"/>
        <w:spacing w:after="80"/>
      </w:pPr>
      <w:r>
        <w:rPr>
          <w:rFonts w:ascii="Calibri" w:hAnsi="Calibri" w:eastAsia="Calibri" w:cs="Calibri"/>
          <w:b w:val="0"/>
          <w:i w:val="0"/>
          <w:color w:val="17251F"/>
          <w:sz w:val="22"/>
        </w:rPr>
        <w:t>Mendemonstrasikan kerangka kerja penyusunan formularium praktis berbasis kriteria berlapis.</w:t>
      </w:r>
    </w:p>
    <w:p>
      <w:pPr>
        <w:pStyle w:val="ListBullet"/>
        <w:spacing w:after="80"/>
      </w:pPr>
      <w:r>
        <w:rPr>
          <w:rFonts w:ascii="Calibri" w:hAnsi="Calibri" w:eastAsia="Calibri" w:cs="Calibri"/>
          <w:b w:val="0"/>
          <w:i w:val="0"/>
          <w:color w:val="17251F"/>
          <w:sz w:val="22"/>
        </w:rPr>
        <w:t>Mempraktikkan evaluasi draf formularium terhadap kriteria stabilitas, interaksi, dan kepraktisan lapangan.</w:t>
      </w:r>
    </w:p>
    <w:p>
      <w:pPr>
        <w:spacing w:before="320" w:after="120"/>
        <w:pBdr>
          <w:bottom w:val="single" w:sz="4" w:space="4" w:color="1F6F5C"/>
        </w:pBdr>
      </w:pPr>
      <w:r>
        <w:rPr>
          <w:rFonts w:ascii="Cambria" w:hAnsi="Cambria" w:eastAsia="Cambria" w:cs="Cambria"/>
          <w:b/>
          <w:i w:val="0"/>
          <w:color w:val="1F6F5C"/>
          <w:sz w:val="28"/>
        </w:rPr>
        <w:t>B. Deskripsi</w:t>
      </w:r>
    </w:p>
    <w:p>
      <w:pPr>
        <w:spacing w:after="160" w:line="276" w:lineRule="auto"/>
      </w:pPr>
      <w:r>
        <w:rPr>
          <w:rFonts w:ascii="Calibri" w:hAnsi="Calibri" w:eastAsia="Calibri" w:cs="Calibri"/>
          <w:b w:val="0"/>
          <w:i w:val="0"/>
          <w:color w:val="17251F"/>
          <w:sz w:val="22"/>
        </w:rPr>
        <w:t>Kit yang lengkap tanpa kerangka pemilihan yang jelas mudah berubah menjadi kumpulan obat yang tidak konsisten antar-kloter — memiliki kerangka penyusunan yang sistematis mencegah hal ini terjadi. Modul ini menjadi puncak integrasi mata kuliah farmakologi klinis kondisi ekstrem, menggabungkan seluruh pertimbangan dari Modul 1–8 menjadi satu kerangka kerja praktis untuk menyusun dan memperbarui formularium kit dokter kloter secara sistematis, bukan berdasarkan kebiasaan atau preferensi individual semata.</w:t>
      </w:r>
    </w:p>
    <w:p>
      <w:pPr>
        <w:spacing w:before="320" w:after="120"/>
        <w:pBdr>
          <w:bottom w:val="single" w:sz="4" w:space="4" w:color="1F6F5C"/>
        </w:pBdr>
      </w:pPr>
      <w:r>
        <w:rPr>
          <w:rFonts w:ascii="Cambria" w:hAnsi="Cambria" w:eastAsia="Cambria" w:cs="Cambria"/>
          <w:b/>
          <w:i w:val="0"/>
          <w:color w:val="1F6F5C"/>
          <w:sz w:val="28"/>
        </w:rPr>
        <w:t>C. Materi Inti</w:t>
      </w:r>
    </w:p>
    <w:p>
      <w:pPr>
        <w:spacing w:after="160" w:line="276" w:lineRule="auto"/>
      </w:pPr>
      <w:r>
        <w:rPr>
          <w:rFonts w:ascii="Calibri" w:hAnsi="Calibri" w:eastAsia="Calibri" w:cs="Calibri"/>
          <w:b w:val="0"/>
          <w:i/>
          <w:color w:val="17251F"/>
          <w:sz w:val="22"/>
        </w:rPr>
        <w:t>Bagian ini ditandai [VALIDASI AHLI DIPERLUKAN] untuk daftar dan kombinasi obat spesifik.</w:t>
      </w:r>
    </w:p>
    <w:p>
      <w:pPr>
        <w:spacing w:before="200" w:after="80"/>
      </w:pPr>
      <w:r>
        <w:rPr>
          <w:rFonts w:ascii="Cambria" w:hAnsi="Cambria" w:eastAsia="Cambria" w:cs="Cambria"/>
          <w:b/>
          <w:i w:val="0"/>
          <w:color w:val="123D33"/>
          <w:sz w:val="24"/>
        </w:rPr>
        <w:t>C.1 Kriteria Berlapis Penyusunan Formularium</w:t>
      </w:r>
    </w:p>
    <w:p>
      <w:pPr>
        <w:spacing w:after="160" w:line="276" w:lineRule="auto"/>
      </w:pPr>
      <w:r>
        <w:rPr>
          <w:rFonts w:ascii="Calibri" w:hAnsi="Calibri" w:eastAsia="Calibri" w:cs="Calibri"/>
          <w:b w:val="0"/>
          <w:i w:val="0"/>
          <w:color w:val="17251F"/>
          <w:sz w:val="22"/>
        </w:rPr>
        <w:t>Formularium praktis kit dokter kloter perlu disusun berdasarkan kriteria berlapis yang mengintegrasikan seluruh pembelajaran mata kuliah ini, bukan sekadar daftar obat yang dianggap penting secara terpisah.</w:t>
      </w:r>
    </w:p>
    <w:tbl>
      <w:tblPr>
        <w:tblW w:type="auto" w:w="0"/>
        <w:jc w:val="center"/>
        <w:tblLayout w:type="fixed"/>
        <w:tblLook w:firstColumn="1" w:firstRow="1" w:lastColumn="0" w:lastRow="0" w:noHBand="0" w:noVBand="1" w:val="04A0"/>
      </w:tblPr>
      <w:tblGrid>
        <w:gridCol w:w="3024"/>
        <w:gridCol w:w="3024"/>
        <w:gridCol w:w="3024"/>
      </w:tblGrid>
      <w:tr>
        <w:tc>
          <w:tcPr>
            <w:tcW w:type="dxa" w:w="2268"/>
            <w:shd w:val="clear" w:color="auto" w:fill="1F6F5C"/>
            <w:tcBorders>
              <w:top w:val="single" w:sz="4" w:space="0" w:color="E1E9E5"/>
              <w:left w:val="single" w:sz="4" w:space="0" w:color="E1E9E5"/>
              <w:bottom w:val="single" w:sz="4" w:space="0" w:color="E1E9E5"/>
              <w:right w:val="single" w:sz="4" w:space="0" w:color="E1E9E5"/>
            </w:tcBorders>
          </w:tcPr>
          <w:p>
            <w:r/>
            <w:r>
              <w:rPr>
                <w:rFonts w:ascii="Cambria" w:hAnsi="Cambria" w:eastAsia="Cambria" w:cs="Cambria"/>
                <w:b/>
                <w:i w:val="0"/>
                <w:color w:val="FFFFFF"/>
                <w:sz w:val="21"/>
              </w:rPr>
              <w:t>Kriteria</w:t>
            </w:r>
          </w:p>
        </w:tc>
        <w:tc>
          <w:tcPr>
            <w:tcW w:type="dxa" w:w="4535"/>
            <w:shd w:val="clear" w:color="auto" w:fill="1F6F5C"/>
            <w:tcBorders>
              <w:top w:val="single" w:sz="4" w:space="0" w:color="E1E9E5"/>
              <w:left w:val="single" w:sz="4" w:space="0" w:color="E1E9E5"/>
              <w:bottom w:val="single" w:sz="4" w:space="0" w:color="E1E9E5"/>
              <w:right w:val="single" w:sz="4" w:space="0" w:color="E1E9E5"/>
            </w:tcBorders>
          </w:tcPr>
          <w:p>
            <w:r/>
            <w:r>
              <w:rPr>
                <w:rFonts w:ascii="Cambria" w:hAnsi="Cambria" w:eastAsia="Cambria" w:cs="Cambria"/>
                <w:b/>
                <w:i w:val="0"/>
                <w:color w:val="FFFFFF"/>
                <w:sz w:val="21"/>
              </w:rPr>
              <w:t>Pertimbangan Utama</w:t>
            </w:r>
          </w:p>
        </w:tc>
        <w:tc>
          <w:tcPr>
            <w:tcW w:type="dxa" w:w="2268"/>
            <w:shd w:val="clear" w:color="auto" w:fill="1F6F5C"/>
            <w:tcBorders>
              <w:top w:val="single" w:sz="4" w:space="0" w:color="E1E9E5"/>
              <w:left w:val="single" w:sz="4" w:space="0" w:color="E1E9E5"/>
              <w:bottom w:val="single" w:sz="4" w:space="0" w:color="E1E9E5"/>
              <w:right w:val="single" w:sz="4" w:space="0" w:color="E1E9E5"/>
            </w:tcBorders>
          </w:tcPr>
          <w:p>
            <w:r/>
            <w:r>
              <w:rPr>
                <w:rFonts w:ascii="Cambria" w:hAnsi="Cambria" w:eastAsia="Cambria" w:cs="Cambria"/>
                <w:b/>
                <w:i w:val="0"/>
                <w:color w:val="FFFFFF"/>
                <w:sz w:val="21"/>
              </w:rPr>
              <w:t>Modul Rujukan</w:t>
            </w:r>
          </w:p>
        </w:tc>
      </w:tr>
      <w:tr>
        <w:tc>
          <w:tcPr>
            <w:tcW w:type="dxa" w:w="2268"/>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Stabilitas suhu</w:t>
            </w:r>
          </w:p>
        </w:tc>
        <w:tc>
          <w:tcPr>
            <w:tcW w:type="dxa" w:w="4535"/>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Obat harus tahan kondisi penyimpanan lapangan haji atau memiliki solusi penyimpanan praktis</w:t>
            </w:r>
          </w:p>
        </w:tc>
        <w:tc>
          <w:tcPr>
            <w:tcW w:type="dxa" w:w="2268"/>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Modul 4</w:t>
            </w:r>
          </w:p>
        </w:tc>
      </w:tr>
      <w:tr>
        <w:tc>
          <w:tcPr>
            <w:tcW w:type="dxa" w:w="2268"/>
            <w:shd w:val="clear" w:color="auto" w:fill="E8F2EE"/>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Profil interaksi</w:t>
            </w:r>
          </w:p>
        </w:tc>
        <w:tc>
          <w:tcPr>
            <w:tcW w:type="dxa" w:w="4535"/>
            <w:shd w:val="clear" w:color="auto" w:fill="E8F2EE"/>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Diutamakan obat dengan risiko interaksi lebih rendah terhadap obat kronik umum jemaah</w:t>
            </w:r>
          </w:p>
        </w:tc>
        <w:tc>
          <w:tcPr>
            <w:tcW w:type="dxa" w:w="2268"/>
            <w:shd w:val="clear" w:color="auto" w:fill="E8F2EE"/>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Modul 3, 7</w:t>
            </w:r>
          </w:p>
        </w:tc>
      </w:tr>
      <w:tr>
        <w:tc>
          <w:tcPr>
            <w:tcW w:type="dxa" w:w="2268"/>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Kepraktisan penggunaan lapangan</w:t>
            </w:r>
          </w:p>
        </w:tc>
        <w:tc>
          <w:tcPr>
            <w:tcW w:type="dxa" w:w="4535"/>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Rute pemberian sederhana, tidak memerlukan alat canggih</w:t>
            </w:r>
          </w:p>
        </w:tc>
        <w:tc>
          <w:tcPr>
            <w:tcW w:type="dxa" w:w="2268"/>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MK02 Modul 7</w:t>
            </w:r>
          </w:p>
        </w:tc>
      </w:tr>
      <w:tr>
        <w:tc>
          <w:tcPr>
            <w:tcW w:type="dxa" w:w="2268"/>
            <w:shd w:val="clear" w:color="auto" w:fill="E8F2EE"/>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Cakupan indikasi kegawatan</w:t>
            </w:r>
          </w:p>
        </w:tc>
        <w:tc>
          <w:tcPr>
            <w:tcW w:type="dxa" w:w="4535"/>
            <w:shd w:val="clear" w:color="auto" w:fill="E8F2EE"/>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Mencakup seluruh kategori kegawatan yang telah dipelajari MK02–MK04</w:t>
            </w:r>
          </w:p>
        </w:tc>
        <w:tc>
          <w:tcPr>
            <w:tcW w:type="dxa" w:w="2268"/>
            <w:shd w:val="clear" w:color="auto" w:fill="E8F2EE"/>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Modul 5</w:t>
            </w:r>
          </w:p>
        </w:tc>
      </w:tr>
      <w:tr>
        <w:tc>
          <w:tcPr>
            <w:tcW w:type="dxa" w:w="2268"/>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Pembelajaran musim sebelumnya</w:t>
            </w:r>
          </w:p>
        </w:tc>
        <w:tc>
          <w:tcPr>
            <w:tcW w:type="dxa" w:w="4535"/>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Menghindari pola kegagalan terapi yang pernah tercatat</w:t>
            </w:r>
          </w:p>
        </w:tc>
        <w:tc>
          <w:tcPr>
            <w:tcW w:type="dxa" w:w="2268"/>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Modul 8</w:t>
            </w:r>
          </w:p>
        </w:tc>
      </w:tr>
    </w:tbl>
    <w:p>
      <w:pPr>
        <w:spacing w:after="80"/>
      </w:pPr>
    </w:p>
    <w:p>
      <w:pPr>
        <w:spacing w:before="200" w:after="80"/>
      </w:pPr>
      <w:r>
        <w:rPr>
          <w:rFonts w:ascii="Cambria" w:hAnsi="Cambria" w:eastAsia="Cambria" w:cs="Cambria"/>
          <w:b/>
          <w:i w:val="0"/>
          <w:color w:val="123D33"/>
          <w:sz w:val="24"/>
        </w:rPr>
        <w:t>C.2 Kerangka Kerja Penyusunan Formularium</w:t>
      </w:r>
    </w:p>
    <w:tbl>
      <w:tblPr>
        <w:tblW w:type="auto" w:w="0"/>
        <w:jc w:val="center"/>
        <w:tblLayout w:type="autofit"/>
        <w:tblLook w:firstColumn="1" w:firstRow="1" w:lastColumn="0" w:lastRow="0" w:noHBand="0" w:noVBand="1" w:val="04A0"/>
      </w:tblPr>
      <w:tblGrid>
        <w:gridCol w:w="9072"/>
      </w:tblGrid>
      <w:tr>
        <w:tc>
          <w:tcPr>
            <w:tcW w:type="dxa" w:w="9072"/>
            <w:shd w:val="clear" w:color="auto" w:fill="E8F2EE"/>
            <w:tcBorders>
              <w:left w:val="single" w:sz="18" w:color="1F6F5C"/>
              <w:top w:val="nil"/>
              <w:bottom w:val="nil"/>
              <w:right w:val="nil"/>
            </w:tcBorders>
            <w:tcMar>
              <w:top w:w="120" w:type="dxa"/>
              <w:bottom w:w="120" w:type="dxa"/>
              <w:left w:w="200" w:type="dxa"/>
              <w:right w:w="200" w:type="dxa"/>
            </w:tcMar>
          </w:tcPr>
          <w:p>
            <w:r/>
            <w:r>
              <w:rPr>
                <w:rFonts w:ascii="Cambria" w:hAnsi="Cambria" w:eastAsia="Cambria" w:cs="Cambria"/>
                <w:b/>
                <w:i w:val="0"/>
                <w:color w:val="123D33"/>
                <w:sz w:val="22"/>
              </w:rPr>
              <w:t>Algoritma C.2 — Penyusunan dan Pembaruan Formularium Praktis</w:t>
            </w:r>
          </w:p>
          <w:p>
            <w:r>
              <w:rPr>
                <w:rFonts w:ascii="Calibri" w:hAnsi="Calibri" w:eastAsia="Calibri" w:cs="Calibri"/>
                <w:b w:val="0"/>
                <w:i w:val="0"/>
                <w:color w:val="17251F"/>
                <w:sz w:val="21"/>
              </w:rPr>
              <w:t>1) Kumpulkan daftar kondisi kegawatan dan komorbid paling umum dari data musim sebelumnya (lihat Modul 8) → 2) Untuk setiap kondisi, identifikasi kandidat obat berdasarkan kriteria berlapis (Tabel C.1) → 3) Skrining interaksi silang antar seluruh obat dalam draf formularium (Modul 3) → 4) Uji kelayakan penyimpanan setiap obat dalam draf terhadap kondisi lapangan haji (Modul 4) → 5) Ajukan draf formularium kepada dokter spesialis farmakologi klinis/tim formularium resmi untuk validasi dan pengesahan akhir sebelum digunakan. [VALIDASI AHLI DIPERLUKAN]</w:t>
            </w:r>
          </w:p>
        </w:tc>
      </w:tr>
    </w:tbl>
    <w:p>
      <w:pPr>
        <w:spacing w:after="80"/>
      </w:pPr>
    </w:p>
    <w:p>
      <w:pPr>
        <w:spacing w:before="200" w:after="80"/>
      </w:pPr>
      <w:r>
        <w:rPr>
          <w:rFonts w:ascii="Cambria" w:hAnsi="Cambria" w:eastAsia="Cambria" w:cs="Cambria"/>
          <w:b/>
          <w:i w:val="0"/>
          <w:color w:val="123D33"/>
          <w:sz w:val="24"/>
        </w:rPr>
        <w:t>C.3 Menghindari Duplikasi dan Kompleksitas Berlebih</w:t>
      </w:r>
    </w:p>
    <w:p>
      <w:pPr>
        <w:spacing w:after="160" w:line="276" w:lineRule="auto"/>
      </w:pPr>
      <w:r>
        <w:rPr>
          <w:rFonts w:ascii="Calibri" w:hAnsi="Calibri" w:eastAsia="Calibri" w:cs="Calibri"/>
          <w:b w:val="0"/>
          <w:i w:val="0"/>
          <w:color w:val="17251F"/>
          <w:sz w:val="22"/>
        </w:rPr>
        <w:t>Formularium yang terlalu banyak pilihan obat untuk indikasi yang sama justru menyulitkan dokter kloter membuat keputusan cepat di lapangan. Prinsip kesederhanaan — satu atau dua pilihan obat lini pertama yang jelas per indikasi, dengan alternatif terbatas untuk kasus kontraindikasi — lebih mendukung pengambilan keputusan cepat dibandingkan daftar panjang pilihan yang membingungkan. [VALIDASI AHLI DIPERLUKAN]</w:t>
      </w:r>
    </w:p>
    <w:p>
      <w:pPr>
        <w:spacing w:before="200" w:after="80"/>
      </w:pPr>
      <w:r>
        <w:rPr>
          <w:rFonts w:ascii="Cambria" w:hAnsi="Cambria" w:eastAsia="Cambria" w:cs="Cambria"/>
          <w:b/>
          <w:i w:val="0"/>
          <w:color w:val="123D33"/>
          <w:sz w:val="24"/>
        </w:rPr>
        <w:t>C.4 Proses Peninjauan Berkala</w:t>
      </w:r>
    </w:p>
    <w:p>
      <w:pPr>
        <w:spacing w:after="160" w:line="276" w:lineRule="auto"/>
      </w:pPr>
      <w:r>
        <w:rPr>
          <w:rFonts w:ascii="Calibri" w:hAnsi="Calibri" w:eastAsia="Calibri" w:cs="Calibri"/>
          <w:b w:val="0"/>
          <w:i w:val="0"/>
          <w:color w:val="17251F"/>
          <w:sz w:val="22"/>
        </w:rPr>
        <w:t>Formularium bukan dokumen statis. Setiap akhir musim haji, formularium perlu ditinjau ulang berdasarkan pembelajaran dari kasus kegagalan terapi (Modul 8) dan umpan balik dokter kloter yang telah menggunakannya di lapangan, kemudian diperbarui untuk fellowship angkatan berikutnya.</w:t>
      </w:r>
    </w:p>
    <w:p>
      <w:pPr>
        <w:spacing w:before="320" w:after="120"/>
        <w:pBdr>
          <w:bottom w:val="single" w:sz="4" w:space="4" w:color="1F6F5C"/>
        </w:pBdr>
      </w:pPr>
      <w:r>
        <w:rPr>
          <w:rFonts w:ascii="Cambria" w:hAnsi="Cambria" w:eastAsia="Cambria" w:cs="Cambria"/>
          <w:b/>
          <w:i w:val="0"/>
          <w:color w:val="1F6F5C"/>
          <w:sz w:val="28"/>
        </w:rPr>
        <w:t>D. Ilustrasi Kasus (Vignette)</w:t>
      </w:r>
    </w:p>
    <w:p>
      <w:pPr>
        <w:spacing w:after="160" w:line="276" w:lineRule="auto"/>
      </w:pPr>
      <w:r>
        <w:rPr>
          <w:rFonts w:ascii="Calibri" w:hAnsi="Calibri" w:eastAsia="Calibri" w:cs="Calibri"/>
          <w:b w:val="0"/>
          <w:i w:val="0"/>
          <w:color w:val="17251F"/>
          <w:sz w:val="22"/>
        </w:rPr>
        <w:t>Tim penyusun formularium fellowship kedokteran haji meninjau laporan akhir musim sebelumnya dan menemukan beberapa kasus kegagalan terapi berulang akibat obat tertentu yang mudah rusak pada suhu penyimpanan lapangan (lihat Modul 8). Berdasarkan temuan ini, mereka mengganti kandidat obat tersebut dengan alternatif yang lebih stabil pada suhu ekstrem namun tetap efektif untuk indikasi yang sama, setelah proses skrining interaksi dan validasi oleh spesialis farmakologi klinis. [VALIDASI AHLI DIPERLUKAN]</w:t>
      </w:r>
    </w:p>
    <w:p>
      <w:pPr>
        <w:spacing w:before="320" w:after="120"/>
        <w:pBdr>
          <w:bottom w:val="single" w:sz="4" w:space="4" w:color="1F6F5C"/>
        </w:pBdr>
      </w:pPr>
      <w:r>
        <w:rPr>
          <w:rFonts w:ascii="Cambria" w:hAnsi="Cambria" w:eastAsia="Cambria" w:cs="Cambria"/>
          <w:b/>
          <w:i w:val="0"/>
          <w:color w:val="1F6F5C"/>
          <w:sz w:val="28"/>
        </w:rPr>
        <w:t>E. Referensi</w:t>
      </w:r>
    </w:p>
    <w:p>
      <w:pPr>
        <w:spacing w:after="80" w:line="276" w:lineRule="auto"/>
      </w:pPr>
      <w:r>
        <w:rPr>
          <w:rFonts w:ascii="Calibri" w:hAnsi="Calibri" w:eastAsia="Calibri" w:cs="Calibri"/>
          <w:b w:val="0"/>
          <w:i w:val="0"/>
          <w:color w:val="17251F"/>
          <w:sz w:val="22"/>
        </w:rPr>
        <w:t>1. Rujukan spesifik untuk topik "pedoman IDI spesifik tentang penyusunan formularium klinis — AI tidak menemukan dokumen dengan judul ini" [DASAR TIDAK TERVERIFIKASI SECARA DARING — AI tidak menemukan dokumen resmi spesifik ini melalui pencarian web dan TIDAK mengklaim dokumen ini ada. Mohon konfirmasi judul, penerbit, tahun, dan tautan resminya; bila Anda dapat mengunggah/menunjukkan sumbernya, referensi ini akan diperbarui.]</w:t>
      </w:r>
    </w:p>
    <w:p>
      <w:pPr>
        <w:spacing w:after="80" w:line="276" w:lineRule="auto"/>
      </w:pPr>
      <w:r>
        <w:rPr>
          <w:rFonts w:ascii="Calibri" w:hAnsi="Calibri" w:eastAsia="Calibri" w:cs="Calibri"/>
          <w:b w:val="0"/>
          <w:i w:val="0"/>
          <w:color w:val="17251F"/>
          <w:sz w:val="22"/>
        </w:rPr>
        <w:t>2. Buku Tematik Fellowship Kedokteran Haji (B3) — sintesis Bab 1–6. Perpustakaan Digital ABBA. [VALIDASI AHLI DIPERLUKAN]</w:t>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Calibri" w:hAnsi="Calibri" w:eastAsia="Calibri" w:cs="Calibri"/>
        <w:b w:val="0"/>
        <w:i w:val="0"/>
        <w:color w:val="526059"/>
        <w:sz w:val="18"/>
      </w:rPr>
      <w:fldChar w:fldCharType="begin"/>
      <w:instrText xml:space="preserve">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Cambria" w:hAnsi="Cambria" w:eastAsia="Cambria" w:cs="Cambria"/>
        <w:b w:val="0"/>
        <w:i/>
        <w:color w:val="526059"/>
        <w:sz w:val="18"/>
      </w:rPr>
      <w:t>Ekosistem Pendidikan Kedokteran Haji</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eastAsia="Calibri"/>
      <w:color w:val="17251F"/>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