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MK05 — Manajemen Komorbid pada Jemaah Lanjut Usia</w:t>
      </w:r>
    </w:p>
    <w:p>
      <w:pPr>
        <w:pBdr>
          <w:bottom w:val="single" w:color="B6862C" w:sz="12" w:space="6"/>
        </w:pBdr>
        <w:spacing w:after="300"/>
      </w:pPr>
      <w:r>
        <w:rPr>
          <w:rFonts w:ascii="Cambria" w:cs="Cambria" w:eastAsia="Cambria" w:hAnsi="Cambria"/>
          <w:b/>
          <w:bCs/>
          <w:color w:val="123D33"/>
          <w:sz w:val="40"/>
          <w:szCs w:val="40"/>
        </w:rPr>
        <w:t xml:space="preserve">Modul 9: Studi Kasus Dekompensasi Komorbid Selama Puncak Ibadah (Armuzna)</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mengapa fase puncak ibadah (Arafah–Muzdalifah–Mina) meningkatkan risiko dekompensasi komorbid dibandingkan fase-fase lain musim haji.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Bersikap antisipatif dan terstruktur dalam menghadapi keterbatasan sumber daya selama fase puncak ibadah.</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Menganalisis studi kasus dekompensasi komorbid selama Armuzna dan menyusun rencana antisipasi menggunakan prinsip Modul 1–8.</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Fase Armuzna memadatkan hampir seluruh faktor pemicu yang dibahas pada Modul 2–6 — cuaca ekstrem, aktivitas fisik puncak, gangguan tidur, dan keterbatasan akses logistik — ke dalam rentang waktu yang sangat singkat, sehingga dekompensasi yang biasanya berkembang bertahap dapat muncul jauh lebih cepat.</w:t>
      </w:r>
    </w:p>
    <w:p>
      <w:pPr>
        <w:spacing w:after="140" w:line="300"/>
      </w:pPr>
      <w:r>
        <w:rPr>
          <w:rFonts w:ascii="Calibri" w:cs="Calibri" w:eastAsia="Calibri" w:hAnsi="Calibri"/>
          <w:i w:val="false"/>
          <w:iCs w:val="false"/>
          <w:color w:val="17251F"/>
          <w:sz w:val="22"/>
          <w:szCs w:val="22"/>
        </w:rPr>
        <w:t xml:space="preserve">Modul ini penting sebagai persiapan menghadapi periode paling menantang dalam kalender ibadah haji, di mana keterlambatan mengenali tanda dekompensasi berdampak lebih besar dibandingkan pada fase-fase lain karena keterbatasan akses rujukan.</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Mengapa Armuzna Meningkatkan Risiko Dekompensasi</w:t>
      </w:r>
    </w:p>
    <w:p>
      <w:pPr>
        <w:spacing w:after="140" w:line="300"/>
      </w:pPr>
      <w:r>
        <w:rPr>
          <w:rFonts w:ascii="Calibri" w:cs="Calibri" w:eastAsia="Calibri" w:hAnsi="Calibri"/>
          <w:i w:val="false"/>
          <w:iCs w:val="false"/>
          <w:color w:val="17251F"/>
          <w:sz w:val="22"/>
          <w:szCs w:val="22"/>
        </w:rPr>
        <w:t xml:space="preserve">Fase Arafah–Muzdalifah–Mina menggabungkan aktivitas fisik intensif, paparan panas berkepanjangan, gangguan pola tidur dan makan, serta kepadatan kerumunan ekstrem dalam waktu singkat. Faktor-faktor yang pada modul-modul sebelumnya dibahas satu per satu (dehidrasi pada Modul 2, aktivitas fisik mendadak pada Modul 3, kelelahan pada Modul 4 dan 6) terjadi bersamaan pada fase ini, mempercepat kemungkinan dekompensasi pada jemaah dengan komorbid yang sebelumnya tampak terkendali.</w:t>
      </w:r>
    </w:p>
    <w:p>
      <w:pPr>
        <w:spacing w:after="90" w:before="200"/>
      </w:pPr>
      <w:r>
        <w:rPr>
          <w:rFonts w:ascii="Cambria" w:cs="Cambria" w:eastAsia="Cambria" w:hAnsi="Cambria"/>
          <w:b/>
          <w:bCs/>
          <w:color w:val="123D33"/>
          <w:sz w:val="23"/>
          <w:szCs w:val="23"/>
        </w:rPr>
        <w:t xml:space="preserve">2. Studi Kasus Terstruktur: Dekompensasi Berlapis Selama Armuzna</w:t>
      </w:r>
    </w:p>
    <w:p>
      <w:pPr>
        <w:spacing w:after="140" w:line="300"/>
      </w:pPr>
      <w:r>
        <w:rPr>
          <w:rFonts w:ascii="Calibri" w:cs="Calibri" w:eastAsia="Calibri" w:hAnsi="Calibri"/>
          <w:i w:val="false"/>
          <w:iCs w:val="false"/>
          <w:color w:val="17251F"/>
          <w:sz w:val="22"/>
          <w:szCs w:val="22"/>
        </w:rPr>
        <w:t xml:space="preserve">Seorang jemaah perempuan, 68 tahun, dengan riwayat hipertensi dan diabetes yang selama ini terkendali baik sejak embarkasi (profil risiko tercatat pada pemetaan Modul 1 sebagai risiko sedang, bukan prioritas case management). Pada hari wukuf di Arafah, ia menghabiskan waktu lebih lama di bawah terik matahari mengikuti anjuran rombongan, dengan asupan cairan yang tidak mencukupi karena enggan sering ke toilet portable yang antre panjang.</w:t>
      </w:r>
    </w:p>
    <w:p>
      <w:pPr>
        <w:spacing w:after="140" w:line="300"/>
      </w:pPr>
      <w:r>
        <w:rPr>
          <w:rFonts w:ascii="Calibri" w:cs="Calibri" w:eastAsia="Calibri" w:hAnsi="Calibri"/>
          <w:i w:val="false"/>
          <w:iCs w:val="false"/>
          <w:color w:val="17251F"/>
          <w:sz w:val="22"/>
          <w:szCs w:val="22"/>
        </w:rPr>
        <w:t xml:space="preserve">Menjelang malam, ia mulai menunjukkan kebingungan ringan dan bicara melantur singkat — tanda yang oleh pendampingnya awalnya dikira kelelahan biasa. Menerapkan kewaspadaan tanda dini dari Modul 5 (perubahan perilaku mendadak sebagai tanda gangguan kognitif akut, bukan gangguan kronik), tim kesehatan kloter yang melakukan ronde rutin di Muzdalifah mengukur gula darahnya dan menemukan hipoglikemia (Modul 3), sekaligus tekanan darah yang justru rendah disertai tanda dehidrasi (Modul 2).</w:t>
      </w:r>
    </w:p>
    <w:p>
      <w:pPr>
        <w:spacing w:after="90" w:before="200"/>
      </w:pPr>
      <w:r>
        <w:rPr>
          <w:rFonts w:ascii="Cambria" w:cs="Cambria" w:eastAsia="Cambria" w:hAnsi="Cambria"/>
          <w:b/>
          <w:bCs/>
          <w:color w:val="123D33"/>
          <w:sz w:val="23"/>
          <w:szCs w:val="23"/>
        </w:rPr>
        <w:t xml:space="preserve">3. Penerapan Prinsip Lintas-Modul dalam Penanganan</w:t>
      </w:r>
    </w:p>
    <w:p>
      <w:pPr>
        <w:pStyle w:val="ListParagraph"/>
        <w:numPr>
          <w:ilvl w:val="0"/>
          <w:numId w:val="1"/>
        </w:numPr>
        <w:spacing w:after="80"/>
      </w:pPr>
      <w:r>
        <w:rPr>
          <w:rFonts w:ascii="Calibri" w:cs="Calibri" w:eastAsia="Calibri" w:hAnsi="Calibri"/>
          <w:color w:val="17251F"/>
          <w:sz w:val="22"/>
          <w:szCs w:val="22"/>
        </w:rPr>
        <w:t xml:space="preserve">Tim mengoreksi hipoglikemia dan dehidrasi sesuai algoritma Modul 2 dan 3, bukan berasumsi kebingungan tersebut adalah gangguan kognitif kronik baru (Modul 5).</w:t>
      </w:r>
    </w:p>
    <w:p>
      <w:pPr>
        <w:pStyle w:val="ListParagraph"/>
        <w:numPr>
          <w:ilvl w:val="0"/>
          <w:numId w:val="1"/>
        </w:numPr>
        <w:spacing w:after="80"/>
      </w:pPr>
      <w:r>
        <w:rPr>
          <w:rFonts w:ascii="Calibri" w:cs="Calibri" w:eastAsia="Calibri" w:hAnsi="Calibri"/>
          <w:color w:val="17251F"/>
          <w:sz w:val="22"/>
          <w:szCs w:val="22"/>
        </w:rPr>
        <w:t xml:space="preserve">Setelah kondisi membaik, jemaah tetap dipantau ketat sepanjang perjalanan ke Mina, mengikuti prinsip pembaruan profil risiko berkelanjutan (Modul 1).</w:t>
      </w:r>
    </w:p>
    <w:p>
      <w:pPr>
        <w:pStyle w:val="ListParagraph"/>
        <w:numPr>
          <w:ilvl w:val="0"/>
          <w:numId w:val="1"/>
        </w:numPr>
        <w:spacing w:after="80"/>
      </w:pPr>
      <w:r>
        <w:rPr>
          <w:rFonts w:ascii="Calibri" w:cs="Calibri" w:eastAsia="Calibri" w:hAnsi="Calibri"/>
          <w:color w:val="17251F"/>
          <w:sz w:val="22"/>
          <w:szCs w:val="22"/>
        </w:rPr>
        <w:t xml:space="preserve">Kejadian ini dicatat sebagai riwayat kegawatan, sehingga jemaah tersebut kini memenuhi kriteria case management individual (Modul 7) untuk sisa rangkaian ibadah.</w:t>
      </w:r>
    </w:p>
    <w:p>
      <w:pPr>
        <w:pStyle w:val="ListParagraph"/>
        <w:numPr>
          <w:ilvl w:val="0"/>
          <w:numId w:val="1"/>
        </w:numPr>
        <w:spacing w:after="80"/>
      </w:pPr>
      <w:r>
        <w:rPr>
          <w:rFonts w:ascii="Calibri" w:cs="Calibri" w:eastAsia="Calibri" w:hAnsi="Calibri"/>
          <w:color w:val="17251F"/>
          <w:sz w:val="22"/>
          <w:szCs w:val="22"/>
        </w:rPr>
        <w:t xml:space="preserve">Tim mendokumentasikan pola ini sebagai bahan evaluasi logistik hidrasi kloter selama fase Armuzna berikutnya.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Pelajaran Kunci: gejala yang tampak seperti satu kondisi (kebingungan mendadak) dapat merupakan manifestasi gabungan dua kondisi berbeda (hipoglikemia dan dehidrasi) yang keduanya diperberat oleh tekanan fase puncak ibadah — menegaskan pentingnya evaluasi multi-arah, bukan penetapan diagnosis tunggal secara terburu-buru.</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Skenario di atas menggambarkan bagaimana seorang jemaah berisiko sedang dapat bergeser menjadi kasus kompleks hanya dalam hitungan jam selama fase Armuzna. Dokter kloter yang telah menginternalisasi algoritma dari Modul 1–7 mampu melakukan evaluasi cepat dan terstruktur di tengah keterbatasan sumber daya dan waktu, alih-alih panik menghadapi presentasi gejala yang tumpang tindih.</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Al-Tawfiq JA, Memish ZA. Health issues in the Hajj pilgrimage: a literature review. East Mediterr Health J. 2019;25(10). Tersedia di: https://www.emro.who.int/emhj-volume-25-2019/volume-25-issue-10/health-issues-in-the-hajj-pilgrimage-a-literature-review.html</w:t>
      </w:r>
    </w:p>
    <w:p>
      <w:pPr>
        <w:spacing w:after="100"/>
        <w:ind w:left="360" w:hanging="360"/>
      </w:pPr>
      <w:r>
        <w:rPr>
          <w:rFonts w:ascii="Calibri" w:cs="Calibri" w:eastAsia="Calibri" w:hAnsi="Calibri"/>
          <w:color w:val="17251F"/>
          <w:sz w:val="20"/>
          <w:szCs w:val="20"/>
        </w:rPr>
        <w:t xml:space="preserve">2. Pane M, et al. Cardiovascular disease as the leading cause of death and ICU admission among Hajj pilgrims. Dikutip dalam: Al-Tawfiq JA, Memish ZA. East Mediterr Health J. 2019;25(10).</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MK05 · Modul 9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2026-07-15T19:33:05.741Z</dcterms:created>
  <dcterms:modified xsi:type="dcterms:W3CDTF">2026-07-15T19:33:05.741Z</dcterms:modified>
</cp:coreProperties>
</file>

<file path=docProps/custom.xml><?xml version="1.0" encoding="utf-8"?>
<Properties xmlns="http://schemas.openxmlformats.org/officeDocument/2006/custom-properties" xmlns:vt="http://schemas.openxmlformats.org/officeDocument/2006/docPropsVTypes"/>
</file>