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MK02 — Kedokteran Klinis Haji: Peran &amp; Tatalaksana Dokter Kloter</w:t>
      </w:r>
    </w:p>
    <w:p>
      <w:pPr>
        <w:spacing w:before="0" w:after="280"/>
        <w:pBdr>
          <w:bottom w:val="single" w:sz="6" w:space="4" w:color="B6862C"/>
        </w:pBdr>
      </w:pPr>
      <w:r>
        <w:rPr>
          <w:rFonts w:ascii="Cambria" w:hAnsi="Cambria" w:eastAsia="Cambria" w:cs="Cambria"/>
          <w:b/>
          <w:i w:val="0"/>
          <w:color w:val="123D33"/>
          <w:sz w:val="40"/>
        </w:rPr>
        <w:t>Modul 10: Aspek Etik, Legal, dan Komunikasi Lintas Budaya dalam Pelayanan Jemaah</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penerapan prinsip etik kedokteran (beneficence, non-maleficence, otonomi, keadilan) dalam konteks lapangan haji.</w:t>
      </w:r>
    </w:p>
    <w:p>
      <w:pPr>
        <w:pStyle w:val="ListBullet"/>
        <w:spacing w:after="80"/>
      </w:pPr>
      <w:r>
        <w:rPr>
          <w:rFonts w:ascii="Calibri" w:hAnsi="Calibri" w:eastAsia="Calibri" w:cs="Calibri"/>
          <w:b w:val="0"/>
          <w:i w:val="0"/>
          <w:color w:val="17251F"/>
          <w:sz w:val="22"/>
        </w:rPr>
        <w:t>Menguraikan batasan kewenangan hukum praktik dokter kloter di wilayah Arab Saudi.</w:t>
      </w:r>
    </w:p>
    <w:p>
      <w:pPr>
        <w:pStyle w:val="ListBullet"/>
        <w:spacing w:after="80"/>
      </w:pPr>
      <w:r>
        <w:rPr>
          <w:rFonts w:ascii="Calibri" w:hAnsi="Calibri" w:eastAsia="Calibri" w:cs="Calibri"/>
          <w:b w:val="0"/>
          <w:i w:val="0"/>
          <w:color w:val="17251F"/>
          <w:sz w:val="22"/>
        </w:rPr>
        <w:t>Menjelaskan penerapan informed consent dan implied consent pada kondisi gawat darurat dengan keterbatasan waktu.</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penghormatan terhadap otonomi jemaah sekaligus tanggung jawab keselamatan klinis saat keduanya tampak berbenturan.</w:t>
      </w:r>
    </w:p>
    <w:p>
      <w:pPr>
        <w:pStyle w:val="ListBullet"/>
        <w:spacing w:after="80"/>
      </w:pPr>
      <w:r>
        <w:rPr>
          <w:rFonts w:ascii="Calibri" w:hAnsi="Calibri" w:eastAsia="Calibri" w:cs="Calibri"/>
          <w:b w:val="0"/>
          <w:i w:val="0"/>
          <w:color w:val="17251F"/>
          <w:sz w:val="22"/>
        </w:rPr>
        <w:t>Menghargai pentingnya komunikasi lintas budaya yang sensitif terhadap norma agama dan sosial jemaah.</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pendekatan komunikasi sensitif budaya termasuk metode teach-back.</w:t>
      </w:r>
    </w:p>
    <w:p>
      <w:pPr>
        <w:pStyle w:val="ListBullet"/>
        <w:spacing w:after="80"/>
      </w:pPr>
      <w:r>
        <w:rPr>
          <w:rFonts w:ascii="Calibri" w:hAnsi="Calibri" w:eastAsia="Calibri" w:cs="Calibri"/>
          <w:b w:val="0"/>
          <w:i w:val="0"/>
          <w:color w:val="17251F"/>
          <w:sz w:val="22"/>
        </w:rPr>
        <w:t>Mempraktikkan pendokumentasian keputusan etik ketika keinginan jemaah berbeda dari rekomendasi medis.</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Kompetensi klinis terbaik pun kehilangan makna bila pesan tidak sampai kepada jemaah atau petugas setempat karena hambatan bahasa dan budaya. Modul ini penting sebagai penutup rangkaian kompetensi klinis mata kuliah ini karena berpraktik di negara lain berarti tunduk pada aturan negara tersebut, dan menghormati keinginan jemaah sambil menjaga keamanan klinis kadang tampak seperti dua hal yang bertentangan — padahal keduanya bisa dipertemukan lewat komunikasi yang jujur, empatik, dan terdokumentasi dengan baik.</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Kerangka Etik Praktik Dokter Kloter</w:t>
      </w:r>
    </w:p>
    <w:p>
      <w:pPr>
        <w:spacing w:after="160" w:line="276" w:lineRule="auto"/>
      </w:pPr>
      <w:r>
        <w:rPr>
          <w:rFonts w:ascii="Calibri" w:hAnsi="Calibri" w:eastAsia="Calibri" w:cs="Calibri"/>
          <w:b w:val="0"/>
          <w:i w:val="0"/>
          <w:color w:val="17251F"/>
          <w:sz w:val="22"/>
        </w:rPr>
        <w:t>Dokter kloter bekerja dalam kondisi yang menguji prinsip etik kedokteran secara nyata: sumber daya terbatas, waktu kontak singkat, dan populasi pasien yang rentan. Prinsip beneficence, non-maleficence, otonomi, dan keadilan tetap berlaku, namun penerapannya perlu disesuaikan dengan konteks lapangan — misalnya prinsip otonomi yang perlu diimbangi dengan pemahaman bahwa sebagian jemaah memiliki keterbatasan memahami informasi medis kompleks dalam waktu singkat.</w:t>
      </w:r>
    </w:p>
    <w:p>
      <w:pPr>
        <w:spacing w:before="200" w:after="80"/>
      </w:pPr>
      <w:r>
        <w:rPr>
          <w:rFonts w:ascii="Cambria" w:hAnsi="Cambria" w:eastAsia="Cambria" w:cs="Cambria"/>
          <w:b/>
          <w:i w:val="0"/>
          <w:color w:val="123D33"/>
          <w:sz w:val="24"/>
        </w:rPr>
        <w:t>C.2 Aspek Legal Praktik di Luar Negeri</w:t>
      </w:r>
    </w:p>
    <w:p>
      <w:pPr>
        <w:spacing w:after="160" w:line="276" w:lineRule="auto"/>
      </w:pPr>
      <w:r>
        <w:rPr>
          <w:rFonts w:ascii="Calibri" w:hAnsi="Calibri" w:eastAsia="Calibri" w:cs="Calibri"/>
          <w:b w:val="0"/>
          <w:i w:val="0"/>
          <w:color w:val="17251F"/>
          <w:sz w:val="22"/>
        </w:rPr>
        <w:t>Dokter kloter berpraktik di wilayah hukum Arab Saudi, sehingga perlu memahami batasan kewenangan praktik lintas negara, termasuk aturan mengenai peresepan obat tertentu dan prosedur yang mungkin memerlukan izin khusus. Dokter kloter dianjurkan memahami kerangka hukum ini melalui pembekalan resmi dari Kemenhaj sebelum keberangkatan, dan tidak melakukan tindakan di luar kewenangan yang telah ditetapkan tanpa koordinasi dengan KKHI.</w:t>
      </w:r>
    </w:p>
    <w:p>
      <w:pPr>
        <w:spacing w:before="200" w:after="80"/>
      </w:pPr>
      <w:r>
        <w:rPr>
          <w:rFonts w:ascii="Cambria" w:hAnsi="Cambria" w:eastAsia="Cambria" w:cs="Cambria"/>
          <w:b/>
          <w:i w:val="0"/>
          <w:color w:val="123D33"/>
          <w:sz w:val="24"/>
        </w:rPr>
        <w:t>C.3 Informed Consent dalam Konteks Terbatas Waktu</w:t>
      </w:r>
    </w:p>
    <w:p>
      <w:pPr>
        <w:spacing w:after="160" w:line="276" w:lineRule="auto"/>
      </w:pPr>
      <w:r>
        <w:rPr>
          <w:rFonts w:ascii="Calibri" w:hAnsi="Calibri" w:eastAsia="Calibri" w:cs="Calibri"/>
          <w:b w:val="0"/>
          <w:i w:val="0"/>
          <w:color w:val="17251F"/>
          <w:sz w:val="22"/>
        </w:rPr>
        <w:t>Prinsip persetujuan tindakan tidak hilang di tengah kegawatdaruratan — ia hanya berubah bentuk penerapannya. Pada kondisi gawat darurat yang mengancam jiwa, tindakan penyelamatan nyawa dapat dilakukan berdasarkan asas kegawatdaruratan (implied consent), namun pada kondisi tidak gawat darurat, dokter kloter tetap wajib menjelaskan kondisi dan rencana tindakan secara sederhana dan memastikan pemahaman jemaah sebelum bertindak.</w:t>
      </w:r>
    </w:p>
    <w:p>
      <w:pPr>
        <w:spacing w:before="200" w:after="80"/>
      </w:pPr>
      <w:r>
        <w:rPr>
          <w:rFonts w:ascii="Cambria" w:hAnsi="Cambria" w:eastAsia="Cambria" w:cs="Cambria"/>
          <w:b/>
          <w:i w:val="0"/>
          <w:color w:val="123D33"/>
          <w:sz w:val="24"/>
        </w:rPr>
        <w:t>C.4 Komunikasi Lintas Budaya dan Bahasa</w:t>
      </w:r>
    </w:p>
    <w:p>
      <w:pPr>
        <w:spacing w:after="160" w:line="276" w:lineRule="auto"/>
      </w:pPr>
      <w:r>
        <w:rPr>
          <w:rFonts w:ascii="Calibri" w:hAnsi="Calibri" w:eastAsia="Calibri" w:cs="Calibri"/>
          <w:b w:val="0"/>
          <w:i w:val="0"/>
          <w:color w:val="17251F"/>
          <w:sz w:val="22"/>
        </w:rPr>
        <w:t>Dokter kloter berinteraksi dengan jemaah dari berbagai latar belakang budaya dan pendidikan, sekaligus dengan petugas kesehatan dan otoritas Arab Saudi yang menggunakan bahasa Arab/Inggris. Kompetensi komunikasi lintas budaya mencakup penggunaan bahasa sederhana dan kontekstual, kepekaan terhadap norma budaya dan agama (misalnya preferensi jenis kelamin tenaga kesehatan, lihat Modul 6), serta penguasaan istilah medis dasar bahasa Arab/Inggris untuk komunikasi darurat.</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C.4 — Pendekatan Komunikasi Sensitif Budaya</w:t>
            </w:r>
          </w:p>
          <w:p>
            <w:r>
              <w:rPr>
                <w:rFonts w:ascii="Calibri" w:hAnsi="Calibri" w:eastAsia="Calibri" w:cs="Calibri"/>
                <w:b w:val="0"/>
                <w:i w:val="0"/>
                <w:color w:val="17251F"/>
                <w:sz w:val="21"/>
              </w:rPr>
              <w:t>1) Sapa jemaah dengan sopan sesuai norma budaya setempat sebelum memulai anamnesis → 2) Gunakan bahasa sederhana, hindari istilah medis teknis tanpa penjelasan → 3) Tawarkan opsi tenaga kesehatan sejenis kelamin bila relevan dan tersedia → 4) Pastikan pemahaman jemaah dengan meminta mereka mengulang informasi penting (teach-back method) → 5) Dokumentasikan hambatan komunikasi yang ditemui untuk perbaikan pendekatan berikutnya.</w:t>
            </w:r>
          </w:p>
        </w:tc>
      </w:tr>
    </w:tbl>
    <w:p>
      <w:pPr>
        <w:spacing w:after="80"/>
      </w:pPr>
    </w:p>
    <w:tbl>
      <w:tblPr>
        <w:tblW w:type="auto" w:w="0"/>
        <w:jc w:val="center"/>
        <w:tblLayout w:type="fixed"/>
        <w:tblLook w:firstColumn="1" w:firstRow="1" w:lastColumn="0" w:lastRow="0" w:noHBand="0" w:noVBand="1" w:val="04A0"/>
      </w:tblPr>
      <w:tblGrid>
        <w:gridCol w:w="3024"/>
        <w:gridCol w:w="3024"/>
        <w:gridCol w:w="3024"/>
      </w:tblGrid>
      <w:tr>
        <w:tc>
          <w:tcPr>
            <w:tcW w:type="dxa" w:w="255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Prinsip Etik</w:t>
            </w:r>
          </w:p>
        </w:tc>
        <w:tc>
          <w:tcPr>
            <w:tcW w:type="dxa" w:w="3118"/>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Tantangan Lapangan</w:t>
            </w:r>
          </w:p>
        </w:tc>
        <w:tc>
          <w:tcPr>
            <w:tcW w:type="dxa" w:w="340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Penerapan Praktis</w:t>
            </w:r>
          </w:p>
        </w:tc>
      </w:tr>
      <w:tr>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Beneficence/Non-maleficence</w:t>
            </w:r>
          </w:p>
        </w:tc>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Sumber daya terbatas</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Prioritaskan tindakan berbasis bukti dan protokol resmi</w:t>
            </w:r>
          </w:p>
        </w:tc>
      </w:tr>
      <w:tr>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Otonomi</w:t>
            </w:r>
          </w:p>
        </w:tc>
        <w:tc>
          <w:tcPr>
            <w:tcW w:type="dxa" w:w="311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Literasi kesehatan bervariasi</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Gunakan teach-back method, bahasa sederhana</w:t>
            </w:r>
          </w:p>
        </w:tc>
      </w:tr>
      <w:tr>
        <w:tc>
          <w:tcPr>
            <w:tcW w:type="dxa" w:w="255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Keadilan</w:t>
            </w:r>
          </w:p>
        </w:tc>
        <w:tc>
          <w:tcPr>
            <w:tcW w:type="dxa" w:w="3118"/>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Volume pasien tinggi, waktu terbatas</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Triase berbasis kegawatan, bukan urutan kedatangan</w:t>
            </w:r>
          </w:p>
        </w:tc>
      </w:tr>
      <w:tr>
        <w:tc>
          <w:tcPr>
            <w:tcW w:type="dxa" w:w="255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Kerahasiaan medis</w:t>
            </w:r>
          </w:p>
        </w:tc>
        <w:tc>
          <w:tcPr>
            <w:tcW w:type="dxa" w:w="3118"/>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Ruang tenda terbuka, kurang privasi</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Upayakan ruang bicara privat untuk topik sensitif</w:t>
            </w:r>
          </w:p>
        </w:tc>
      </w:tr>
    </w:tbl>
    <w:p>
      <w:pPr>
        <w:spacing w:after="80"/>
      </w:pPr>
    </w:p>
    <w:p>
      <w:pPr>
        <w:spacing w:before="200" w:after="80"/>
      </w:pPr>
      <w:r>
        <w:rPr>
          <w:rFonts w:ascii="Cambria" w:hAnsi="Cambria" w:eastAsia="Cambria" w:cs="Cambria"/>
          <w:b/>
          <w:i w:val="0"/>
          <w:color w:val="123D33"/>
          <w:sz w:val="24"/>
        </w:rPr>
        <w:t>C.5 Menghadapi Dilema Ketika Keinginan Jemaah Berbeda dari Rekomendasi Medis</w:t>
      </w:r>
    </w:p>
    <w:p>
      <w:pPr>
        <w:spacing w:after="160" w:line="276" w:lineRule="auto"/>
      </w:pPr>
      <w:r>
        <w:rPr>
          <w:rFonts w:ascii="Calibri" w:hAnsi="Calibri" w:eastAsia="Calibri" w:cs="Calibri"/>
          <w:b w:val="0"/>
          <w:i w:val="0"/>
          <w:color w:val="17251F"/>
          <w:sz w:val="22"/>
        </w:rPr>
        <w:t>Dokter kloter tidak jarang menghadapi situasi di mana jemaah bersikeras melanjutkan aktivitas ibadah tertentu meski secara klinis berisiko tinggi. Pendekatan yang tepat adalah menghindari dua ekstrem: memaksakan larangan tanpa penjelasan memadai, atau membiarkan begitu saja tanpa menyampaikan risiko secara jujur. Pendekatan yang lebih tepat adalah menyampaikan risiko secara jujur dan proporsional, menawarkan alternatif konkret yang lebih aman, dan menghormati keputusan akhir jemaah selama mereka telah memahami risikonya secara utuh — sebuah bentuk penghormatan otonomi yang tetap bertanggung jawab secara etik. Dokumentasi yang baik menjadi penting dalam situasi ini, mencatat bahwa risiko telah dijelaskan, alternatif telah ditawarkan, dan keputusan akhir ada di tangan jemaah.</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jemaah dengan riwayat gagal jantung menolak menggunakan kursi roda untuk sai karena merasa mampu berjalan sendiri. Dokter kloter menjelaskan risiko dekompensasi secara jujur namun tidak menakut-nakuti, menawarkan opsi menggunakan kursi roda hanya untuk sebagian putaran, melibatkan pendamping keluarga dalam percakapan, dan mencatat percakapan ini pada rekam kesehatan — pendekatan yang menghormati keinginan jemaah sekaligus menjaga tanggung jawab etik dokter kloter. Dalam kesempatan yang sama, ia menjelaskan rencana pemantauannya menggunakan bahasa sederhana dan meminta jemaah mengulang pemahamannya (teach-back), yang mengungkap bahwa jemaah sempat keliru memahami jadwal minum obat jantungnya — kesalahpahaman yang berhasil dikoreksi sebelum menjadi masalah lebih besar.</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Pengurus Besar Ikatan Dokter Indonesia (PB IDI). Kode Etik Kedokteran Indonesia (KODEKI). Jakarta: PB IDI; 2012 (disahkan SK PB IDI No. 111/PB/A.4/02/2013). Catatan: per akhir 2024 MKEK PB IDI sedang mengkaji ulang KODEKI; versi 2012 tetap berlaku hingga revisi resmi diterbitkan.</w:t>
      </w:r>
    </w:p>
    <w:p>
      <w:pPr>
        <w:spacing w:after="80" w:line="276" w:lineRule="auto"/>
      </w:pPr>
      <w:r>
        <w:rPr>
          <w:rFonts w:ascii="Calibri" w:hAnsi="Calibri" w:eastAsia="Calibri" w:cs="Calibri"/>
          <w:b w:val="0"/>
          <w:i w:val="0"/>
          <w:color w:val="17251F"/>
          <w:sz w:val="22"/>
        </w:rPr>
        <w:t>2. Rujukan spesifik untuk topik "materi pembekalan resmi aspek legal dan budaya bagi petugas kesehatan haji"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3. Buku Utama Fellowship Kedokteran Haji (B1) — Bab 10.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