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MK04 — Farmakologi Klinis dalam Kondisi Ekstrem</w:t>
      </w:r>
    </w:p>
    <w:p>
      <w:pPr>
        <w:spacing w:before="0" w:after="280"/>
        <w:pBdr>
          <w:bottom w:val="single" w:sz="6" w:space="4" w:color="B6862C"/>
        </w:pBdr>
      </w:pPr>
      <w:r>
        <w:rPr>
          <w:rFonts w:ascii="Cambria" w:hAnsi="Cambria" w:eastAsia="Cambria" w:cs="Cambria"/>
          <w:b/>
          <w:i w:val="0"/>
          <w:color w:val="123D33"/>
          <w:sz w:val="40"/>
        </w:rPr>
        <w:t>Modul 10: Review dan Simulasi Pengambilan Keputusan Farmakoterapi Lapangan</w:t>
      </w: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Merangkum keseluruhan kerangka pengambilan keputusan farmakoterapi yang telah dipelajari pada Modul 1–9.</w:t>
      </w:r>
    </w:p>
    <w:p>
      <w:pPr>
        <w:pStyle w:val="ListBullet"/>
        <w:spacing w:after="80"/>
      </w:pPr>
      <w:r>
        <w:rPr>
          <w:rFonts w:ascii="Calibri" w:hAnsi="Calibri" w:eastAsia="Calibri" w:cs="Calibri"/>
          <w:b w:val="0"/>
          <w:i w:val="0"/>
          <w:color w:val="17251F"/>
          <w:sz w:val="22"/>
        </w:rPr>
        <w:t>Mengidentifikasi area kompetensi farmakologi pribadi yang masih memerlukan penguatan sebelum keberangkatan.</w:t>
      </w:r>
    </w:p>
    <w:p>
      <w:pPr>
        <w:pStyle w:val="ListBullet"/>
        <w:spacing w:after="80"/>
      </w:pPr>
      <w:r>
        <w:rPr>
          <w:rFonts w:ascii="Calibri" w:hAnsi="Calibri" w:eastAsia="Calibri" w:cs="Calibri"/>
          <w:b w:val="0"/>
          <w:i w:val="0"/>
          <w:color w:val="17251F"/>
          <w:sz w:val="22"/>
        </w:rPr>
        <w:t>Menjelaskan format uji kompetensi praktikal farmakoterapi yang akan digunakan untuk menilai kesiapan peserta.</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kejujuran dalam evaluasi diri terhadap area farmakologi yang masih memerlukan penguatan.</w:t>
      </w:r>
    </w:p>
    <w:p>
      <w:pPr>
        <w:pStyle w:val="ListBullet"/>
        <w:spacing w:after="80"/>
      </w:pPr>
      <w:r>
        <w:rPr>
          <w:rFonts w:ascii="Calibri" w:hAnsi="Calibri" w:eastAsia="Calibri" w:cs="Calibri"/>
          <w:b w:val="0"/>
          <w:i w:val="0"/>
          <w:color w:val="17251F"/>
          <w:sz w:val="22"/>
        </w:rPr>
        <w:t>Menghargai kompleksitas pengambilan keputusan farmakoterapi lapangan yang jarang memiliki satu jawaban benar tunggal.</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penyelesaian checklist evaluasi diri kompetensi farmakologi klinis kondisi ekstrem.</w:t>
      </w:r>
    </w:p>
    <w:p>
      <w:pPr>
        <w:pStyle w:val="ListBullet"/>
        <w:spacing w:after="80"/>
      </w:pPr>
      <w:r>
        <w:rPr>
          <w:rFonts w:ascii="Calibri" w:hAnsi="Calibri" w:eastAsia="Calibri" w:cs="Calibri"/>
          <w:b w:val="0"/>
          <w:i w:val="0"/>
          <w:color w:val="17251F"/>
          <w:sz w:val="22"/>
        </w:rPr>
        <w:t>Mempraktikkan simulasi kasus farmakoterapi kompleks yang menggabungkan minimal tiga topik dari Modul 1–9.</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Menutup mata kuliah dengan simulasi kasus nyata jauh lebih bermakna dibandingkan menutupnya hanya dengan ujian tertulis berbasis hafalan. Modul ini penting sebagai penutup mata kuliah farmakologi klinis kondisi ekstrem karena keputusan farmakoterapi lapangan jarang sesederhana “berikan obat A untuk kondisi B” — keputusan nyata melibatkan pertimbangan berlapis yang telah dipelajari sepanjang Modul 1–9, dan kesiapan menerapkannya secara terintegrasi perlu diuji sebelum peserta benar-benar berhadapan dengan jemaah di lapangan.</w:t>
      </w:r>
    </w:p>
    <w:p>
      <w:pPr>
        <w:spacing w:before="320" w:after="120"/>
        <w:pBdr>
          <w:bottom w:val="single" w:sz="4" w:space="4" w:color="1F6F5C"/>
        </w:pBdr>
      </w:pPr>
      <w:r>
        <w:rPr>
          <w:rFonts w:ascii="Cambria" w:hAnsi="Cambria" w:eastAsia="Cambria" w:cs="Cambria"/>
          <w:b/>
          <w:i w:val="0"/>
          <w:color w:val="1F6F5C"/>
          <w:sz w:val="28"/>
        </w:rPr>
        <w:t>C. Materi Inti</w:t>
      </w:r>
    </w:p>
    <w:p>
      <w:pPr>
        <w:spacing w:before="200" w:after="80"/>
      </w:pPr>
      <w:r>
        <w:rPr>
          <w:rFonts w:ascii="Cambria" w:hAnsi="Cambria" w:eastAsia="Cambria" w:cs="Cambria"/>
          <w:b/>
          <w:i w:val="0"/>
          <w:color w:val="123D33"/>
          <w:sz w:val="24"/>
        </w:rPr>
        <w:t>C.1 Struktur Review Menyeluruh Mata Kuliah</w:t>
      </w:r>
    </w:p>
    <w:p>
      <w:pPr>
        <w:spacing w:after="160" w:line="276" w:lineRule="auto"/>
      </w:pPr>
      <w:r>
        <w:rPr>
          <w:rFonts w:ascii="Calibri" w:hAnsi="Calibri" w:eastAsia="Calibri" w:cs="Calibri"/>
          <w:b w:val="0"/>
          <w:i w:val="0"/>
          <w:color w:val="17251F"/>
          <w:sz w:val="22"/>
        </w:rPr>
        <w:t>Review ini mengikuti alur logis mata kuliah: dimulai dari prinsip farmakokinetik dasar (Modul 1), penyesuaian aktivitas fisik (Modul 2), interaksi obat dan polifarmasi (Modul 3), penyimpanan dan stabilitas (Modul 4), obat emergensi (Modul 5), kepatuhan (Modul 6), hingga integrasi lintas-sistem, analisis kegagalan, dan penyusunan formularium (Modul 7–9).</w:t>
      </w:r>
    </w:p>
    <w:p>
      <w:pPr>
        <w:spacing w:before="200" w:after="80"/>
      </w:pPr>
      <w:r>
        <w:rPr>
          <w:rFonts w:ascii="Cambria" w:hAnsi="Cambria" w:eastAsia="Cambria" w:cs="Cambria"/>
          <w:b/>
          <w:i w:val="0"/>
          <w:color w:val="123D33"/>
          <w:sz w:val="24"/>
        </w:rPr>
        <w:t>C.2 Checklist Evaluasi Diri Kompetensi Farmakologi</w:t>
      </w:r>
    </w:p>
    <w:tbl>
      <w:tblPr>
        <w:tblW w:type="auto" w:w="0"/>
        <w:jc w:val="center"/>
        <w:tblLayout w:type="fixed"/>
        <w:tblLook w:firstColumn="1" w:firstRow="1" w:lastColumn="0" w:lastRow="0" w:noHBand="0" w:noVBand="1" w:val="04A0"/>
      </w:tblPr>
      <w:tblGrid>
        <w:gridCol w:w="3024"/>
        <w:gridCol w:w="3024"/>
        <w:gridCol w:w="3024"/>
      </w:tblGrid>
      <w:tr>
        <w:tc>
          <w:tcPr>
            <w:tcW w:type="dxa" w:w="368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Area Kompetensi</w:t>
            </w:r>
          </w:p>
        </w:tc>
        <w:tc>
          <w:tcPr>
            <w:tcW w:type="dxa" w:w="1701"/>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Modul Rujukan</w:t>
            </w:r>
          </w:p>
        </w:tc>
        <w:tc>
          <w:tcPr>
            <w:tcW w:type="dxa" w:w="3685"/>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Status (Diisi Mandiri)</w:t>
            </w:r>
          </w:p>
        </w:tc>
      </w:tr>
      <w:tr>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Kewaspadaan farmakokinetik pada dehidrasi/suhu ekstrem</w:t>
            </w:r>
          </w:p>
        </w:tc>
        <w:tc>
          <w:tcPr>
            <w:tcW w:type="dxa" w:w="170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1</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 Siap / ☐ Perlu penguatan</w:t>
            </w:r>
          </w:p>
        </w:tc>
      </w:tr>
      <w:tr>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Penyesuaian terapi kronik selama aktivitas fisik tinggi</w:t>
            </w:r>
          </w:p>
        </w:tc>
        <w:tc>
          <w:tcPr>
            <w:tcW w:type="dxa" w:w="170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2</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 Siap / ☐ Perlu penguatan</w:t>
            </w:r>
          </w:p>
        </w:tc>
      </w:tr>
      <w:tr>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Skrining interaksi obat pada polifarmasi</w:t>
            </w:r>
          </w:p>
        </w:tc>
        <w:tc>
          <w:tcPr>
            <w:tcW w:type="dxa" w:w="170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3</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 Siap / ☐ Perlu penguatan</w:t>
            </w:r>
          </w:p>
        </w:tc>
      </w:tr>
      <w:tr>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Manajemen penyimpanan dan stabilitas obat</w:t>
            </w:r>
          </w:p>
        </w:tc>
        <w:tc>
          <w:tcPr>
            <w:tcW w:type="dxa" w:w="170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4</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 Siap / ☐ Perlu penguatan</w:t>
            </w:r>
          </w:p>
        </w:tc>
      </w:tr>
      <w:tr>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Pengelolaan obat emergensi kit kloter</w:t>
            </w:r>
          </w:p>
        </w:tc>
        <w:tc>
          <w:tcPr>
            <w:tcW w:type="dxa" w:w="170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5</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 Siap / ☐ Perlu penguatan</w:t>
            </w:r>
          </w:p>
        </w:tc>
      </w:tr>
      <w:tr>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Intervensi kepatuhan obat jemaah</w:t>
            </w:r>
          </w:p>
        </w:tc>
        <w:tc>
          <w:tcPr>
            <w:tcW w:type="dxa" w:w="170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6</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 Siap / ☐ Perlu penguatan</w:t>
            </w:r>
          </w:p>
        </w:tc>
      </w:tr>
      <w:tr>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Analisis interaksi lintas-sistem polimorbid</w:t>
            </w:r>
          </w:p>
        </w:tc>
        <w:tc>
          <w:tcPr>
            <w:tcW w:type="dxa" w:w="170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7</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 Siap / ☐ Perlu penguatan</w:t>
            </w:r>
          </w:p>
        </w:tc>
      </w:tr>
      <w:tr>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Analisis root cause kegagalan terapi</w:t>
            </w:r>
          </w:p>
        </w:tc>
        <w:tc>
          <w:tcPr>
            <w:tcW w:type="dxa" w:w="170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8</w:t>
            </w:r>
          </w:p>
        </w:tc>
        <w:tc>
          <w:tcPr>
            <w:tcW w:type="dxa" w:w="3685"/>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 Siap / ☐ Perlu penguatan</w:t>
            </w:r>
          </w:p>
        </w:tc>
      </w:tr>
      <w:tr>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Pemahaman kerangka penyusunan formularium</w:t>
            </w:r>
          </w:p>
        </w:tc>
        <w:tc>
          <w:tcPr>
            <w:tcW w:type="dxa" w:w="170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Modul 9</w:t>
            </w:r>
          </w:p>
        </w:tc>
        <w:tc>
          <w:tcPr>
            <w:tcW w:type="dxa" w:w="3685"/>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 Siap / ☐ Perlu penguatan</w:t>
            </w:r>
          </w:p>
        </w:tc>
      </w:tr>
    </w:tbl>
    <w:p>
      <w:pPr>
        <w:spacing w:after="80"/>
      </w:pPr>
    </w:p>
    <w:p>
      <w:pPr>
        <w:spacing w:before="200" w:after="80"/>
      </w:pPr>
      <w:r>
        <w:rPr>
          <w:rFonts w:ascii="Cambria" w:hAnsi="Cambria" w:eastAsia="Cambria" w:cs="Cambria"/>
          <w:b/>
          <w:i w:val="0"/>
          <w:color w:val="123D33"/>
          <w:sz w:val="24"/>
        </w:rPr>
        <w:t>C.3 Format Simulasi Kasus Farmakoterapi Kompleks</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C.3 — Alur Simulasi Kasus Farmakoterapi Terintegrasi</w:t>
            </w:r>
          </w:p>
          <w:p>
            <w:r>
              <w:rPr>
                <w:rFonts w:ascii="Calibri" w:hAnsi="Calibri" w:eastAsia="Calibri" w:cs="Calibri"/>
                <w:b w:val="0"/>
                <w:i w:val="0"/>
                <w:color w:val="17251F"/>
                <w:sz w:val="21"/>
              </w:rPr>
              <w:t>1) Peserta menerima kasus simulasi jemaah dengan minimal satu komorbid, satu perubahan kondisi lapangan (suhu ekstrem/aktivitas fisik), dan satu obat tambahan yang perlu diskrining → 2) Peserta menyusun analisis lengkap: identifikasi risiko farmakokinetik, skrining interaksi, pertimbangan penyimpanan, dan rencana pemantauan → 3) Peserta mempresentasikan keputusan farmakoterapi beserta alasannya secara lisan kepada penguji → 4) Penguji menilai berdasarkan rubrik yang mencerminkan integrasi Modul 1–9, bukan hanya ketepatan satu jawaban tunggal → 5) Peserta menerima umpan balik dan, bila diperlukan, kesempatan remedial pada area yang masih lemah.</w:t>
            </w:r>
          </w:p>
        </w:tc>
      </w:tr>
    </w:tbl>
    <w:p>
      <w:pPr>
        <w:spacing w:after="80"/>
      </w:pPr>
    </w:p>
    <w:p>
      <w:pPr>
        <w:spacing w:before="200" w:after="80"/>
      </w:pPr>
      <w:r>
        <w:rPr>
          <w:rFonts w:ascii="Cambria" w:hAnsi="Cambria" w:eastAsia="Cambria" w:cs="Cambria"/>
          <w:b/>
          <w:i w:val="0"/>
          <w:color w:val="123D33"/>
          <w:sz w:val="24"/>
        </w:rPr>
        <w:t>C.4 Kaitan dengan Skenario UAS MK02</w:t>
      </w:r>
    </w:p>
    <w:p>
      <w:pPr>
        <w:spacing w:after="160" w:line="276" w:lineRule="auto"/>
      </w:pPr>
      <w:r>
        <w:rPr>
          <w:rFonts w:ascii="Calibri" w:hAnsi="Calibri" w:eastAsia="Calibri" w:cs="Calibri"/>
          <w:b w:val="0"/>
          <w:i w:val="0"/>
          <w:color w:val="17251F"/>
          <w:sz w:val="22"/>
        </w:rPr>
        <w:t>Simulasi kasus farmakoterapi pada modul ini melengkapi, bukan menggantikan, skenario Ujian Akhir Semester (UAS) MK02 yang menggunakan materi Bab 11 Buku B1. Modul ini berfokus khusus pada kompetensi farmakologi klinis MK04, sementara UAS MK02 menilai kompetensi peran dan tatalaksana klinis dokter kloter secara lebih luas, termasuk aspek farmakologi sebagai salah satu komponennya.</w:t>
      </w:r>
    </w:p>
    <w:p>
      <w:pPr>
        <w:spacing w:before="200" w:after="80"/>
      </w:pPr>
      <w:r>
        <w:rPr>
          <w:rFonts w:ascii="Cambria" w:hAnsi="Cambria" w:eastAsia="Cambria" w:cs="Cambria"/>
          <w:b/>
          <w:i w:val="0"/>
          <w:color w:val="123D33"/>
          <w:sz w:val="24"/>
        </w:rPr>
        <w:t>C.5 Menutup Fellowship Semester 1: Kesiapan Menyeluruh</w:t>
      </w:r>
    </w:p>
    <w:p>
      <w:pPr>
        <w:spacing w:after="160" w:line="276" w:lineRule="auto"/>
      </w:pPr>
      <w:r>
        <w:rPr>
          <w:rFonts w:ascii="Calibri" w:hAnsi="Calibri" w:eastAsia="Calibri" w:cs="Calibri"/>
          <w:b w:val="0"/>
          <w:i w:val="0"/>
          <w:color w:val="17251F"/>
          <w:sz w:val="22"/>
        </w:rPr>
        <w:t>Modul ini menandai penutup rangkaian mata kuliah Semester 1 Periode 2 (MK03 dan MK04). Peserta yang telah menyelesaikan review dan simulasi ini diharapkan memiliki kerangka berpikir terintegrasi antara tatalaksana kedaruratan lapangan (MK03) dan farmakologi klinis kondisi ekstrem (MK04), yang keduanya saling melengkapi dalam praktik nyata dokter kloter di lapangan.</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Seorang peserta fellowship menerima kasus simulasi: jemaah lansia dengan gagal jantung dan diabetes yang mengalami dehidrasi ringan setelah aktivitas sai, kemudian memerlukan analgesik lapangan untuk nyeri sendi. Alih-alih langsung menjawab “berikan analgesik X”, peserta tersebut menyusun analisis lengkap: menilai risiko farmakokinetik akibat dehidrasi (Modul 1), memeriksa potensi interaksi analgesik dengan obat rutin jantung dan diabetesnya (Modul 3, 7), serta mempertimbangkan rencana pemantauan gula darah dan fungsi jantung sekaligus. Penguji menilai bahwa proses berpikir terintegrasi ini, bukan sekadar jawaban akhir yang cepat, adalah indikator kesiapan sesungguhnya menghadapi kasus serupa di lapangan nyata.</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Buku Tematik Fellowship Kedokteran Haji (B3) — sintesis Bab 1–6. Perpustakaan Digital ABBA.</w:t>
      </w:r>
    </w:p>
    <w:p>
      <w:pPr>
        <w:spacing w:after="80" w:line="276" w:lineRule="auto"/>
      </w:pPr>
      <w:r>
        <w:rPr>
          <w:rFonts w:ascii="Calibri" w:hAnsi="Calibri" w:eastAsia="Calibri" w:cs="Calibri"/>
          <w:b w:val="0"/>
          <w:i w:val="0"/>
          <w:color w:val="17251F"/>
          <w:sz w:val="22"/>
        </w:rPr>
        <w:t>2. Buku Tematik Fellowship Kedokteran Haji (B2) — rujukan integrasi MK03. Perpustakaan Digital ABBA.</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